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A482" w14:textId="3372D824" w:rsidR="00111E70" w:rsidRPr="004A2F42" w:rsidRDefault="007A7EA5" w:rsidP="004A2F42">
      <w:pPr>
        <w:pStyle w:val="SuperHeading"/>
      </w:pPr>
      <w:r w:rsidRPr="004A2F42">
        <w:t xml:space="preserve">CHCMHS010 Implement </w:t>
      </w:r>
      <w:r w:rsidR="008D5A3C" w:rsidRPr="004A2F42">
        <w:t>recovery</w:t>
      </w:r>
      <w:r w:rsidR="008D5A3C">
        <w:t>-</w:t>
      </w:r>
      <w:r w:rsidRPr="004A2F42">
        <w:t xml:space="preserve">oriented approaches to complexity </w:t>
      </w:r>
    </w:p>
    <w:p w14:paraId="6A36A483" w14:textId="77777777" w:rsidR="00111E70" w:rsidRPr="004A2F42" w:rsidRDefault="007A7EA5" w:rsidP="004A2F42">
      <w:pPr>
        <w:pStyle w:val="Heading1"/>
      </w:pPr>
      <w:bookmarkStart w:id="0" w:name="O_654297"/>
      <w:bookmarkEnd w:id="0"/>
      <w:r w:rsidRPr="004A2F4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111E70" w14:paraId="6A36A486" w14:textId="77777777" w:rsidTr="004A2F42">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36A484" w14:textId="77777777" w:rsidR="00111E70" w:rsidRPr="004A2F42" w:rsidRDefault="007A7EA5" w:rsidP="004A2F42">
            <w:pPr>
              <w:pStyle w:val="BodyText"/>
            </w:pPr>
            <w:r w:rsidRPr="004A2F42">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36A485" w14:textId="77777777" w:rsidR="00111E70" w:rsidRDefault="007A7EA5" w:rsidP="004A2F42">
            <w:pPr>
              <w:pStyle w:val="BodyText"/>
              <w:rPr>
                <w:lang w:val="en-NZ"/>
              </w:rPr>
            </w:pPr>
            <w:r w:rsidRPr="004A2F42">
              <w:rPr>
                <w:rStyle w:val="SpecialBold"/>
              </w:rPr>
              <w:t>Comments</w:t>
            </w:r>
          </w:p>
        </w:tc>
      </w:tr>
      <w:tr w:rsidR="00111E70" w:rsidRPr="004A2F42" w14:paraId="6A36A48A" w14:textId="77777777" w:rsidTr="004A2F42">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36A487" w14:textId="57DABCC3" w:rsidR="00111E70" w:rsidRDefault="007A7EA5" w:rsidP="004A2F42">
            <w:pPr>
              <w:pStyle w:val="BodyText"/>
              <w:rPr>
                <w:lang w:val="en-NZ"/>
              </w:rPr>
            </w:pPr>
            <w:r w:rsidRPr="004A2F42">
              <w:t xml:space="preserve">Release </w:t>
            </w:r>
            <w:r w:rsidR="0040562B">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36A489" w14:textId="32CA1B56" w:rsidR="00111E70" w:rsidRPr="004A2F42" w:rsidRDefault="007A7EA5" w:rsidP="004A2F42">
            <w:pPr>
              <w:pStyle w:val="BodyText"/>
            </w:pPr>
            <w:r w:rsidRPr="004A2F42">
              <w:t xml:space="preserve"> </w:t>
            </w:r>
          </w:p>
        </w:tc>
      </w:tr>
    </w:tbl>
    <w:p w14:paraId="6A36A48B" w14:textId="77777777" w:rsidR="00111E70" w:rsidRPr="004A2F42" w:rsidRDefault="00111E70" w:rsidP="004A2F42">
      <w:pPr>
        <w:pStyle w:val="BodyText"/>
      </w:pPr>
    </w:p>
    <w:p w14:paraId="6A36A48C" w14:textId="77777777" w:rsidR="00111E70" w:rsidRPr="004A2F42" w:rsidRDefault="00111E70" w:rsidP="004A2F42">
      <w:pPr>
        <w:pStyle w:val="AllowPageBreak"/>
      </w:pPr>
    </w:p>
    <w:p w14:paraId="6A36A48D" w14:textId="77777777" w:rsidR="00111E70" w:rsidRPr="004A2F42" w:rsidRDefault="007A7EA5" w:rsidP="004A2F42">
      <w:pPr>
        <w:pStyle w:val="Heading1"/>
      </w:pPr>
      <w:bookmarkStart w:id="1" w:name="O_654298"/>
      <w:bookmarkEnd w:id="1"/>
      <w:r w:rsidRPr="004A2F42">
        <w:t>Application</w:t>
      </w:r>
    </w:p>
    <w:p w14:paraId="6A36A48E" w14:textId="00F634BA" w:rsidR="00111E70" w:rsidRPr="004A2F42" w:rsidRDefault="007A7EA5" w:rsidP="007A7EA5">
      <w:pPr>
        <w:pStyle w:val="BodyText"/>
      </w:pPr>
      <w:r w:rsidRPr="004A2F42">
        <w:t xml:space="preserve">This unit describes the skills and knowledge required to identify and respond to issues of complexity when supporting people </w:t>
      </w:r>
      <w:r w:rsidR="008D5A3C">
        <w:t>experiencing</w:t>
      </w:r>
      <w:r w:rsidRPr="004A2F42">
        <w:t xml:space="preserve"> mental </w:t>
      </w:r>
      <w:r w:rsidR="008D5A3C">
        <w:t>health challenges</w:t>
      </w:r>
      <w:r w:rsidR="008D5A3C" w:rsidRPr="004A2F42">
        <w:t xml:space="preserve"> </w:t>
      </w:r>
      <w:r w:rsidRPr="004A2F42">
        <w:t xml:space="preserve">and their care networks. The unit is based on a strengths-based approach and acknowledges that complexity is not a characteristic of an individual. Complexity may be impacted by a range of interactions between the worker, the organisation and the environmental context. </w:t>
      </w:r>
    </w:p>
    <w:p w14:paraId="6A36A48F" w14:textId="514AEDC8" w:rsidR="00111E70" w:rsidRPr="004A2F42" w:rsidRDefault="007A7EA5" w:rsidP="007A7EA5">
      <w:pPr>
        <w:pStyle w:val="BodyText"/>
      </w:pPr>
      <w:r w:rsidRPr="004A2F42">
        <w:t xml:space="preserve">This unit applies to work with people </w:t>
      </w:r>
      <w:r w:rsidR="008D5A3C">
        <w:t>experiencing</w:t>
      </w:r>
      <w:r w:rsidRPr="004A2F42">
        <w:t xml:space="preserve"> mental </w:t>
      </w:r>
      <w:r w:rsidR="008D5A3C">
        <w:t>health challenges</w:t>
      </w:r>
      <w:r w:rsidR="008D5A3C" w:rsidRPr="004A2F42">
        <w:t xml:space="preserve"> </w:t>
      </w:r>
      <w:r w:rsidRPr="004A2F42">
        <w:t>in a range of community services work contexts.</w:t>
      </w:r>
    </w:p>
    <w:p w14:paraId="6A36A490" w14:textId="77777777" w:rsidR="00111E70" w:rsidRPr="007A7EA5" w:rsidRDefault="007A7EA5" w:rsidP="007A7EA5">
      <w:pPr>
        <w:pStyle w:val="BodyText"/>
        <w:rPr>
          <w:i/>
        </w:rPr>
      </w:pPr>
      <w:r w:rsidRPr="007A7EA5">
        <w:rPr>
          <w:rStyle w:val="Emphasis"/>
        </w:rPr>
        <w:t>The skills in this unit must be applied in accordance with Commonwealth and State/Territory legislation, Australian/New Zealand standards and industry codes of practice.</w:t>
      </w:r>
    </w:p>
    <w:p w14:paraId="6A36A491" w14:textId="77777777" w:rsidR="00111E70" w:rsidRPr="004A2F42" w:rsidRDefault="007A7EA5" w:rsidP="004A2F42">
      <w:pPr>
        <w:pStyle w:val="Heading1"/>
      </w:pPr>
      <w:bookmarkStart w:id="2" w:name="O_654302"/>
      <w:bookmarkEnd w:id="2"/>
      <w:r w:rsidRPr="004A2F42">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141"/>
        <w:gridCol w:w="5562"/>
        <w:gridCol w:w="9"/>
        <w:gridCol w:w="37"/>
      </w:tblGrid>
      <w:tr w:rsidR="004A2F42" w:rsidRPr="004A2F42" w14:paraId="6A36A494" w14:textId="77777777" w:rsidTr="004A2F42">
        <w:trPr>
          <w:gridAfter w:val="2"/>
          <w:wAfter w:w="46" w:type="dxa"/>
          <w:tblHeader/>
        </w:trPr>
        <w:tc>
          <w:tcPr>
            <w:tcW w:w="3261" w:type="dxa"/>
            <w:tcBorders>
              <w:top w:val="nil"/>
              <w:left w:val="nil"/>
              <w:bottom w:val="nil"/>
              <w:right w:val="nil"/>
            </w:tcBorders>
            <w:tcMar>
              <w:top w:w="0" w:type="dxa"/>
              <w:left w:w="62" w:type="dxa"/>
              <w:bottom w:w="0" w:type="dxa"/>
              <w:right w:w="62" w:type="dxa"/>
            </w:tcMar>
          </w:tcPr>
          <w:p w14:paraId="6A36A492" w14:textId="77777777" w:rsidR="00111E70" w:rsidRPr="004A2F42" w:rsidRDefault="007A7EA5" w:rsidP="004A2F42">
            <w:pPr>
              <w:pStyle w:val="BodyText"/>
            </w:pPr>
            <w:r w:rsidRPr="004A2F42">
              <w:rPr>
                <w:rStyle w:val="SpecialBold"/>
              </w:rPr>
              <w:t>ELEMENT</w:t>
            </w:r>
          </w:p>
        </w:tc>
        <w:tc>
          <w:tcPr>
            <w:tcW w:w="5703" w:type="dxa"/>
            <w:gridSpan w:val="2"/>
            <w:tcBorders>
              <w:top w:val="nil"/>
              <w:left w:val="nil"/>
              <w:bottom w:val="nil"/>
              <w:right w:val="nil"/>
            </w:tcBorders>
            <w:tcMar>
              <w:top w:w="0" w:type="dxa"/>
              <w:left w:w="62" w:type="dxa"/>
              <w:bottom w:w="0" w:type="dxa"/>
              <w:right w:w="62" w:type="dxa"/>
            </w:tcMar>
          </w:tcPr>
          <w:p w14:paraId="6A36A493" w14:textId="77777777" w:rsidR="00111E70" w:rsidRDefault="007A7EA5" w:rsidP="004A2F42">
            <w:pPr>
              <w:pStyle w:val="BodyText"/>
              <w:rPr>
                <w:lang w:val="en-NZ"/>
              </w:rPr>
            </w:pPr>
            <w:r w:rsidRPr="004A2F42">
              <w:rPr>
                <w:rStyle w:val="SpecialBold"/>
              </w:rPr>
              <w:t>PERFORMANCE CRITERIA</w:t>
            </w:r>
          </w:p>
        </w:tc>
      </w:tr>
      <w:tr w:rsidR="004A2F42" w14:paraId="6A36A497" w14:textId="77777777" w:rsidTr="004A2F42">
        <w:trPr>
          <w:gridAfter w:val="2"/>
          <w:wAfter w:w="46" w:type="dxa"/>
          <w:tblHeader/>
        </w:trPr>
        <w:tc>
          <w:tcPr>
            <w:tcW w:w="3261" w:type="dxa"/>
            <w:tcBorders>
              <w:top w:val="nil"/>
              <w:left w:val="nil"/>
              <w:bottom w:val="nil"/>
              <w:right w:val="nil"/>
            </w:tcBorders>
            <w:tcMar>
              <w:top w:w="0" w:type="dxa"/>
              <w:left w:w="62" w:type="dxa"/>
              <w:bottom w:w="0" w:type="dxa"/>
              <w:right w:w="62" w:type="dxa"/>
            </w:tcMar>
          </w:tcPr>
          <w:p w14:paraId="6A36A495" w14:textId="77777777" w:rsidR="00111E70" w:rsidRPr="004A2F42" w:rsidRDefault="007A7EA5" w:rsidP="004A2F42">
            <w:pPr>
              <w:pStyle w:val="BodyText"/>
            </w:pPr>
            <w:r w:rsidRPr="004A2F42">
              <w:rPr>
                <w:rStyle w:val="Emphasis"/>
              </w:rPr>
              <w:t>Elements define the essential outcomes</w:t>
            </w:r>
          </w:p>
        </w:tc>
        <w:tc>
          <w:tcPr>
            <w:tcW w:w="5703" w:type="dxa"/>
            <w:gridSpan w:val="2"/>
            <w:tcBorders>
              <w:top w:val="nil"/>
              <w:left w:val="nil"/>
              <w:bottom w:val="nil"/>
              <w:right w:val="nil"/>
            </w:tcBorders>
            <w:tcMar>
              <w:top w:w="0" w:type="dxa"/>
              <w:left w:w="62" w:type="dxa"/>
              <w:bottom w:w="0" w:type="dxa"/>
              <w:right w:w="62" w:type="dxa"/>
            </w:tcMar>
          </w:tcPr>
          <w:p w14:paraId="6A36A496" w14:textId="77777777" w:rsidR="00111E70" w:rsidRDefault="007A7EA5" w:rsidP="004A2F42">
            <w:pPr>
              <w:pStyle w:val="BodyText"/>
              <w:rPr>
                <w:lang w:val="en-NZ"/>
              </w:rPr>
            </w:pPr>
            <w:r w:rsidRPr="004A2F42">
              <w:rPr>
                <w:rStyle w:val="Emphasis"/>
              </w:rPr>
              <w:t>Performance criteria describe the performance needed to demonstrate achievement of the element.</w:t>
            </w:r>
          </w:p>
        </w:tc>
      </w:tr>
      <w:tr w:rsidR="004A2F42" w14:paraId="6A36A49A" w14:textId="77777777" w:rsidTr="004A2F42">
        <w:tc>
          <w:tcPr>
            <w:tcW w:w="3402" w:type="dxa"/>
            <w:gridSpan w:val="2"/>
            <w:tcBorders>
              <w:top w:val="nil"/>
              <w:left w:val="nil"/>
              <w:bottom w:val="nil"/>
              <w:right w:val="nil"/>
            </w:tcBorders>
            <w:tcMar>
              <w:top w:w="0" w:type="dxa"/>
              <w:left w:w="62" w:type="dxa"/>
              <w:bottom w:w="0" w:type="dxa"/>
              <w:right w:w="62" w:type="dxa"/>
            </w:tcMar>
          </w:tcPr>
          <w:p w14:paraId="6A36A498" w14:textId="77777777" w:rsidR="00111E70" w:rsidRDefault="00111E70" w:rsidP="004A2F42">
            <w:pPr>
              <w:pStyle w:val="List"/>
              <w:rPr>
                <w:lang w:val="en-NZ"/>
              </w:rPr>
            </w:pPr>
          </w:p>
        </w:tc>
        <w:tc>
          <w:tcPr>
            <w:tcW w:w="5608" w:type="dxa"/>
            <w:gridSpan w:val="3"/>
            <w:tcBorders>
              <w:top w:val="nil"/>
              <w:left w:val="nil"/>
              <w:bottom w:val="nil"/>
              <w:right w:val="nil"/>
            </w:tcBorders>
            <w:tcMar>
              <w:top w:w="0" w:type="dxa"/>
              <w:left w:w="62" w:type="dxa"/>
              <w:bottom w:w="0" w:type="dxa"/>
              <w:right w:w="62" w:type="dxa"/>
            </w:tcMar>
          </w:tcPr>
          <w:p w14:paraId="6A36A499" w14:textId="77777777" w:rsidR="00111E70" w:rsidRDefault="00111E70" w:rsidP="004A2F42">
            <w:pPr>
              <w:pStyle w:val="BodyText"/>
              <w:rPr>
                <w:lang w:val="en-NZ"/>
              </w:rPr>
            </w:pPr>
          </w:p>
        </w:tc>
      </w:tr>
      <w:tr w:rsidR="004A2F42" w14:paraId="6A36A4A1" w14:textId="77777777" w:rsidTr="004A2F42">
        <w:trPr>
          <w:gridAfter w:val="1"/>
          <w:wAfter w:w="37" w:type="dxa"/>
        </w:trPr>
        <w:tc>
          <w:tcPr>
            <w:tcW w:w="3261" w:type="dxa"/>
            <w:tcBorders>
              <w:top w:val="nil"/>
              <w:left w:val="nil"/>
              <w:bottom w:val="nil"/>
              <w:right w:val="nil"/>
            </w:tcBorders>
            <w:tcMar>
              <w:top w:w="0" w:type="dxa"/>
              <w:left w:w="62" w:type="dxa"/>
              <w:bottom w:w="0" w:type="dxa"/>
              <w:right w:w="62" w:type="dxa"/>
            </w:tcMar>
          </w:tcPr>
          <w:p w14:paraId="6A36A49B" w14:textId="77777777" w:rsidR="00111E70" w:rsidRDefault="007A7EA5" w:rsidP="004A2F42">
            <w:pPr>
              <w:pStyle w:val="BodyText"/>
              <w:rPr>
                <w:lang w:val="en-NZ"/>
              </w:rPr>
            </w:pPr>
            <w:r w:rsidRPr="004A2F42">
              <w:t>1. Identify the person’s issues that may contribute to complexity</w:t>
            </w:r>
          </w:p>
        </w:tc>
        <w:tc>
          <w:tcPr>
            <w:tcW w:w="5712" w:type="dxa"/>
            <w:gridSpan w:val="3"/>
            <w:tcBorders>
              <w:top w:val="nil"/>
              <w:left w:val="nil"/>
              <w:bottom w:val="nil"/>
              <w:right w:val="nil"/>
            </w:tcBorders>
            <w:tcMar>
              <w:top w:w="0" w:type="dxa"/>
              <w:left w:w="62" w:type="dxa"/>
              <w:bottom w:w="0" w:type="dxa"/>
              <w:right w:w="62" w:type="dxa"/>
            </w:tcMar>
          </w:tcPr>
          <w:p w14:paraId="6A36A49C" w14:textId="77777777" w:rsidR="00111E70" w:rsidRPr="004A2F42" w:rsidRDefault="007A7EA5" w:rsidP="004A2F42">
            <w:pPr>
              <w:pStyle w:val="BodyText"/>
            </w:pPr>
            <w:r w:rsidRPr="004A2F42">
              <w:t>1.1 Invite the person to share their life experience, values, hopes, expectations and needs</w:t>
            </w:r>
          </w:p>
          <w:p w14:paraId="6A36A49D" w14:textId="0E1A358B" w:rsidR="00111E70" w:rsidRPr="004A2F42" w:rsidRDefault="007A7EA5" w:rsidP="004A2F42">
            <w:pPr>
              <w:pStyle w:val="BodyText"/>
            </w:pPr>
            <w:r w:rsidRPr="004A2F42">
              <w:t xml:space="preserve">1.2 Respond sensitively and exchange information with the person to </w:t>
            </w:r>
            <w:r w:rsidR="00D337A7">
              <w:t>build</w:t>
            </w:r>
            <w:r w:rsidRPr="004A2F42">
              <w:t xml:space="preserve"> understanding and establish rapport</w:t>
            </w:r>
          </w:p>
          <w:p w14:paraId="6A36A49E" w14:textId="77777777" w:rsidR="00111E70" w:rsidRPr="004A2F42" w:rsidRDefault="007A7EA5" w:rsidP="004A2F42">
            <w:pPr>
              <w:pStyle w:val="BodyText"/>
            </w:pPr>
            <w:r w:rsidRPr="004A2F42">
              <w:t>1.3 Identify with the person the breadth of issues they are facing and any associated or impacting factors</w:t>
            </w:r>
          </w:p>
          <w:p w14:paraId="6A36A49F" w14:textId="77777777" w:rsidR="00111E70" w:rsidRPr="004A2F42" w:rsidRDefault="007A7EA5" w:rsidP="004A2F42">
            <w:pPr>
              <w:pStyle w:val="BodyText"/>
            </w:pPr>
            <w:r w:rsidRPr="004A2F42">
              <w:t>1.4 Listen actively to ensure experiences are heard to support exploration and validation of issues raised</w:t>
            </w:r>
          </w:p>
          <w:p w14:paraId="6A36A4A0" w14:textId="77777777" w:rsidR="00111E70" w:rsidRDefault="007A7EA5" w:rsidP="004A2F42">
            <w:pPr>
              <w:pStyle w:val="BodyText"/>
              <w:rPr>
                <w:lang w:val="en-NZ"/>
              </w:rPr>
            </w:pPr>
            <w:r w:rsidRPr="004A2F42">
              <w:t>1.5 Engage in collaborative record keeping and ongoing consent</w:t>
            </w:r>
          </w:p>
        </w:tc>
      </w:tr>
      <w:tr w:rsidR="004A2F42" w14:paraId="6A36A4A4" w14:textId="77777777" w:rsidTr="004A2F42">
        <w:tc>
          <w:tcPr>
            <w:tcW w:w="3402" w:type="dxa"/>
            <w:gridSpan w:val="2"/>
            <w:tcBorders>
              <w:top w:val="nil"/>
              <w:left w:val="nil"/>
              <w:bottom w:val="nil"/>
              <w:right w:val="nil"/>
            </w:tcBorders>
            <w:tcMar>
              <w:top w:w="0" w:type="dxa"/>
              <w:left w:w="62" w:type="dxa"/>
              <w:bottom w:w="0" w:type="dxa"/>
              <w:right w:w="62" w:type="dxa"/>
            </w:tcMar>
          </w:tcPr>
          <w:p w14:paraId="6A36A4A2" w14:textId="77777777" w:rsidR="00111E70" w:rsidRDefault="00111E70" w:rsidP="004A2F42">
            <w:pPr>
              <w:pStyle w:val="List"/>
              <w:rPr>
                <w:lang w:val="en-NZ"/>
              </w:rPr>
            </w:pPr>
          </w:p>
        </w:tc>
        <w:tc>
          <w:tcPr>
            <w:tcW w:w="5608" w:type="dxa"/>
            <w:gridSpan w:val="3"/>
            <w:tcBorders>
              <w:top w:val="nil"/>
              <w:left w:val="nil"/>
              <w:bottom w:val="nil"/>
              <w:right w:val="nil"/>
            </w:tcBorders>
            <w:tcMar>
              <w:top w:w="0" w:type="dxa"/>
              <w:left w:w="62" w:type="dxa"/>
              <w:bottom w:w="0" w:type="dxa"/>
              <w:right w:w="62" w:type="dxa"/>
            </w:tcMar>
          </w:tcPr>
          <w:p w14:paraId="6A36A4A3" w14:textId="77777777" w:rsidR="00111E70" w:rsidRDefault="00111E70" w:rsidP="004A2F42">
            <w:pPr>
              <w:pStyle w:val="BodyText"/>
              <w:rPr>
                <w:lang w:val="en-NZ"/>
              </w:rPr>
            </w:pPr>
          </w:p>
        </w:tc>
      </w:tr>
      <w:tr w:rsidR="004A2F42" w14:paraId="6A36A4A9" w14:textId="77777777" w:rsidTr="004A2F42">
        <w:trPr>
          <w:gridAfter w:val="1"/>
          <w:wAfter w:w="37" w:type="dxa"/>
        </w:trPr>
        <w:tc>
          <w:tcPr>
            <w:tcW w:w="3261" w:type="dxa"/>
            <w:tcBorders>
              <w:top w:val="nil"/>
              <w:left w:val="nil"/>
              <w:bottom w:val="nil"/>
              <w:right w:val="nil"/>
            </w:tcBorders>
            <w:tcMar>
              <w:top w:w="0" w:type="dxa"/>
              <w:left w:w="62" w:type="dxa"/>
              <w:bottom w:w="0" w:type="dxa"/>
              <w:right w:w="62" w:type="dxa"/>
            </w:tcMar>
          </w:tcPr>
          <w:p w14:paraId="6A36A4A5" w14:textId="1E84BF75" w:rsidR="00111E70" w:rsidRDefault="007A7EA5" w:rsidP="004A2F42">
            <w:pPr>
              <w:pStyle w:val="BodyText"/>
              <w:rPr>
                <w:lang w:val="en-NZ"/>
              </w:rPr>
            </w:pPr>
            <w:r w:rsidRPr="004A2F42">
              <w:t xml:space="preserve">2. Identify </w:t>
            </w:r>
            <w:r w:rsidR="00ED2296">
              <w:t>own</w:t>
            </w:r>
            <w:r w:rsidR="00ED2296" w:rsidRPr="004A2F42">
              <w:t xml:space="preserve"> </w:t>
            </w:r>
            <w:r w:rsidRPr="004A2F42">
              <w:t>or service</w:t>
            </w:r>
            <w:r w:rsidR="00ED2296">
              <w:t>’s</w:t>
            </w:r>
            <w:r w:rsidRPr="004A2F42">
              <w:t xml:space="preserve"> issues that may affect capacity to work with the person</w:t>
            </w:r>
          </w:p>
        </w:tc>
        <w:tc>
          <w:tcPr>
            <w:tcW w:w="5712" w:type="dxa"/>
            <w:gridSpan w:val="3"/>
            <w:tcBorders>
              <w:top w:val="nil"/>
              <w:left w:val="nil"/>
              <w:bottom w:val="nil"/>
              <w:right w:val="nil"/>
            </w:tcBorders>
            <w:tcMar>
              <w:top w:w="0" w:type="dxa"/>
              <w:left w:w="62" w:type="dxa"/>
              <w:bottom w:w="0" w:type="dxa"/>
              <w:right w:w="62" w:type="dxa"/>
            </w:tcMar>
          </w:tcPr>
          <w:p w14:paraId="6A36A4A6" w14:textId="65B1BA8D" w:rsidR="00111E70" w:rsidRPr="004A2F42" w:rsidRDefault="007A7EA5" w:rsidP="004A2F42">
            <w:pPr>
              <w:pStyle w:val="BodyText"/>
            </w:pPr>
            <w:r w:rsidRPr="004A2F42">
              <w:t xml:space="preserve">2.1 Identify </w:t>
            </w:r>
            <w:r w:rsidR="00ED2296">
              <w:t xml:space="preserve">own </w:t>
            </w:r>
            <w:r w:rsidRPr="004A2F42">
              <w:t>strengths and limitations of expertise and experience in dealing with the person’s circumstances</w:t>
            </w:r>
          </w:p>
          <w:p w14:paraId="6A36A4A7" w14:textId="5A26E6B6" w:rsidR="00111E70" w:rsidRPr="004A2F42" w:rsidRDefault="007A7EA5" w:rsidP="004A2F42">
            <w:pPr>
              <w:pStyle w:val="BodyText"/>
            </w:pPr>
            <w:r w:rsidRPr="004A2F42">
              <w:t xml:space="preserve">2.2 Discuss the compatibility of the service approach </w:t>
            </w:r>
            <w:r w:rsidR="00D337A7">
              <w:t>with</w:t>
            </w:r>
            <w:r w:rsidR="00D337A7" w:rsidRPr="004A2F42">
              <w:t xml:space="preserve"> </w:t>
            </w:r>
            <w:r w:rsidRPr="004A2F42">
              <w:t xml:space="preserve">the persons values and preferences to </w:t>
            </w:r>
            <w:r w:rsidR="00D337A7">
              <w:t>support</w:t>
            </w:r>
            <w:r w:rsidR="00D337A7" w:rsidRPr="004A2F42">
              <w:t xml:space="preserve"> </w:t>
            </w:r>
            <w:r w:rsidRPr="004A2F42">
              <w:t>real choice</w:t>
            </w:r>
          </w:p>
          <w:p w14:paraId="6A36A4A8" w14:textId="77777777" w:rsidR="00111E70" w:rsidRDefault="007A7EA5" w:rsidP="004A2F42">
            <w:pPr>
              <w:pStyle w:val="BodyText"/>
              <w:rPr>
                <w:lang w:val="en-NZ"/>
              </w:rPr>
            </w:pPr>
            <w:r w:rsidRPr="004A2F42">
              <w:t>2.3 Identify systemic and personal issues and challenges and report according to organisation procedures</w:t>
            </w:r>
          </w:p>
        </w:tc>
      </w:tr>
      <w:tr w:rsidR="004A2F42" w14:paraId="6A36A4AC" w14:textId="77777777" w:rsidTr="004A2F42">
        <w:trPr>
          <w:gridAfter w:val="2"/>
          <w:wAfter w:w="46" w:type="dxa"/>
        </w:trPr>
        <w:tc>
          <w:tcPr>
            <w:tcW w:w="3261" w:type="dxa"/>
            <w:tcBorders>
              <w:top w:val="nil"/>
              <w:left w:val="nil"/>
              <w:bottom w:val="nil"/>
              <w:right w:val="nil"/>
            </w:tcBorders>
            <w:tcMar>
              <w:top w:w="0" w:type="dxa"/>
              <w:left w:w="62" w:type="dxa"/>
              <w:bottom w:w="0" w:type="dxa"/>
              <w:right w:w="62" w:type="dxa"/>
            </w:tcMar>
          </w:tcPr>
          <w:p w14:paraId="6A36A4AA" w14:textId="77777777" w:rsidR="00111E70" w:rsidRDefault="00111E70">
            <w:pPr>
              <w:pStyle w:val="BodyText"/>
              <w:keepLines w:val="0"/>
              <w:rPr>
                <w:rFonts w:ascii="Tahoma" w:hAnsi="Tahoma"/>
                <w:sz w:val="20"/>
                <w:lang w:val="en-NZ"/>
              </w:rPr>
            </w:pPr>
          </w:p>
        </w:tc>
        <w:tc>
          <w:tcPr>
            <w:tcW w:w="5703" w:type="dxa"/>
            <w:gridSpan w:val="2"/>
            <w:tcBorders>
              <w:top w:val="nil"/>
              <w:left w:val="nil"/>
              <w:bottom w:val="nil"/>
              <w:right w:val="nil"/>
            </w:tcBorders>
            <w:tcMar>
              <w:top w:w="0" w:type="dxa"/>
              <w:left w:w="62" w:type="dxa"/>
              <w:bottom w:w="0" w:type="dxa"/>
              <w:right w:w="62" w:type="dxa"/>
            </w:tcMar>
          </w:tcPr>
          <w:p w14:paraId="6A36A4AB" w14:textId="77777777" w:rsidR="00111E70" w:rsidRDefault="00111E70" w:rsidP="004A2F42">
            <w:pPr>
              <w:pStyle w:val="BodyText"/>
              <w:rPr>
                <w:lang w:val="en-NZ"/>
              </w:rPr>
            </w:pPr>
          </w:p>
        </w:tc>
      </w:tr>
      <w:tr w:rsidR="004A2F42" w14:paraId="6A36A4B2" w14:textId="77777777" w:rsidTr="004A2F42">
        <w:trPr>
          <w:gridAfter w:val="2"/>
          <w:wAfter w:w="46" w:type="dxa"/>
        </w:trPr>
        <w:tc>
          <w:tcPr>
            <w:tcW w:w="3261" w:type="dxa"/>
            <w:tcBorders>
              <w:top w:val="nil"/>
              <w:left w:val="nil"/>
              <w:bottom w:val="nil"/>
              <w:right w:val="nil"/>
            </w:tcBorders>
            <w:tcMar>
              <w:top w:w="0" w:type="dxa"/>
              <w:left w:w="62" w:type="dxa"/>
              <w:bottom w:w="0" w:type="dxa"/>
              <w:right w:w="62" w:type="dxa"/>
            </w:tcMar>
          </w:tcPr>
          <w:p w14:paraId="6A36A4AD" w14:textId="77777777" w:rsidR="00111E70" w:rsidRDefault="007A7EA5" w:rsidP="004A2F42">
            <w:pPr>
              <w:pStyle w:val="BodyText"/>
              <w:rPr>
                <w:lang w:val="en-NZ"/>
              </w:rPr>
            </w:pPr>
            <w:r w:rsidRPr="004A2F42">
              <w:t>3. Identify environmental issues that may contribute to complexity</w:t>
            </w:r>
          </w:p>
        </w:tc>
        <w:tc>
          <w:tcPr>
            <w:tcW w:w="5703" w:type="dxa"/>
            <w:gridSpan w:val="2"/>
            <w:tcBorders>
              <w:top w:val="nil"/>
              <w:left w:val="nil"/>
              <w:bottom w:val="nil"/>
              <w:right w:val="nil"/>
            </w:tcBorders>
            <w:tcMar>
              <w:top w:w="0" w:type="dxa"/>
              <w:left w:w="62" w:type="dxa"/>
              <w:bottom w:w="0" w:type="dxa"/>
              <w:right w:w="62" w:type="dxa"/>
            </w:tcMar>
          </w:tcPr>
          <w:p w14:paraId="6A36A4AE" w14:textId="216DB933" w:rsidR="00111E70" w:rsidRPr="004A2F42" w:rsidRDefault="007A7EA5" w:rsidP="004A2F42">
            <w:pPr>
              <w:pStyle w:val="BodyText"/>
            </w:pPr>
            <w:r w:rsidRPr="004A2F42">
              <w:t>3.1 Identify any limitations relating to geographical location and isolation</w:t>
            </w:r>
          </w:p>
          <w:p w14:paraId="6A36A4AF" w14:textId="77777777" w:rsidR="00111E70" w:rsidRPr="004A2F42" w:rsidRDefault="007A7EA5" w:rsidP="004A2F42">
            <w:pPr>
              <w:pStyle w:val="BodyText"/>
            </w:pPr>
            <w:r w:rsidRPr="004A2F42">
              <w:t>3.2 Identify extent of the person’s social and support network and any indications of social exclusion or inclusion</w:t>
            </w:r>
          </w:p>
          <w:p w14:paraId="6A36A4B0" w14:textId="1F3B1812" w:rsidR="00111E70" w:rsidRPr="004A2F42" w:rsidRDefault="007A7EA5" w:rsidP="004A2F42">
            <w:pPr>
              <w:pStyle w:val="BodyText"/>
            </w:pPr>
            <w:r w:rsidRPr="004A2F42">
              <w:t xml:space="preserve">3.3 Identify </w:t>
            </w:r>
            <w:r w:rsidR="00D337A7" w:rsidRPr="004A2F42">
              <w:t xml:space="preserve">current state and federal </w:t>
            </w:r>
            <w:r w:rsidRPr="004A2F42">
              <w:t xml:space="preserve">policies, </w:t>
            </w:r>
            <w:r w:rsidR="00D337A7">
              <w:t xml:space="preserve">including </w:t>
            </w:r>
            <w:r w:rsidRPr="004A2F42">
              <w:t>any funding limitations or criteria</w:t>
            </w:r>
          </w:p>
          <w:p w14:paraId="6A36A4B1" w14:textId="77777777" w:rsidR="00111E70" w:rsidRDefault="007A7EA5" w:rsidP="004A2F42">
            <w:pPr>
              <w:pStyle w:val="BodyText"/>
              <w:rPr>
                <w:lang w:val="en-NZ"/>
              </w:rPr>
            </w:pPr>
            <w:r w:rsidRPr="004A2F42">
              <w:t>3.4 Identify differences in other service practice environments and compatibility to the persons preferences</w:t>
            </w:r>
          </w:p>
        </w:tc>
      </w:tr>
      <w:tr w:rsidR="004A2F42" w14:paraId="6A36A4B5" w14:textId="77777777" w:rsidTr="004A2F42">
        <w:trPr>
          <w:gridAfter w:val="2"/>
          <w:wAfter w:w="46" w:type="dxa"/>
        </w:trPr>
        <w:tc>
          <w:tcPr>
            <w:tcW w:w="3261" w:type="dxa"/>
            <w:tcBorders>
              <w:top w:val="nil"/>
              <w:left w:val="nil"/>
              <w:bottom w:val="nil"/>
              <w:right w:val="nil"/>
            </w:tcBorders>
            <w:tcMar>
              <w:top w:w="0" w:type="dxa"/>
              <w:left w:w="62" w:type="dxa"/>
              <w:bottom w:w="0" w:type="dxa"/>
              <w:right w:w="62" w:type="dxa"/>
            </w:tcMar>
          </w:tcPr>
          <w:p w14:paraId="6A36A4B3" w14:textId="77777777" w:rsidR="00111E70" w:rsidRDefault="00111E70">
            <w:pPr>
              <w:pStyle w:val="BodyText"/>
              <w:keepLines w:val="0"/>
              <w:rPr>
                <w:rFonts w:ascii="Tahoma" w:hAnsi="Tahoma"/>
                <w:sz w:val="20"/>
                <w:lang w:val="en-NZ"/>
              </w:rPr>
            </w:pPr>
          </w:p>
        </w:tc>
        <w:tc>
          <w:tcPr>
            <w:tcW w:w="5703" w:type="dxa"/>
            <w:gridSpan w:val="2"/>
            <w:tcBorders>
              <w:top w:val="nil"/>
              <w:left w:val="nil"/>
              <w:bottom w:val="nil"/>
              <w:right w:val="nil"/>
            </w:tcBorders>
            <w:tcMar>
              <w:top w:w="0" w:type="dxa"/>
              <w:left w:w="62" w:type="dxa"/>
              <w:bottom w:w="0" w:type="dxa"/>
              <w:right w:w="62" w:type="dxa"/>
            </w:tcMar>
          </w:tcPr>
          <w:p w14:paraId="6A36A4B4" w14:textId="77777777" w:rsidR="00111E70" w:rsidRDefault="00111E70" w:rsidP="004A2F42">
            <w:pPr>
              <w:pStyle w:val="BodyText"/>
              <w:rPr>
                <w:lang w:val="en-NZ"/>
              </w:rPr>
            </w:pPr>
          </w:p>
        </w:tc>
      </w:tr>
      <w:tr w:rsidR="004A2F42" w:rsidRPr="004A2F42" w14:paraId="6A36A4BF" w14:textId="77777777" w:rsidTr="004A2F42">
        <w:trPr>
          <w:gridAfter w:val="2"/>
          <w:wAfter w:w="46" w:type="dxa"/>
        </w:trPr>
        <w:tc>
          <w:tcPr>
            <w:tcW w:w="3261" w:type="dxa"/>
            <w:tcBorders>
              <w:top w:val="nil"/>
              <w:left w:val="nil"/>
              <w:bottom w:val="nil"/>
              <w:right w:val="nil"/>
            </w:tcBorders>
            <w:tcMar>
              <w:top w:w="0" w:type="dxa"/>
              <w:left w:w="62" w:type="dxa"/>
              <w:bottom w:w="0" w:type="dxa"/>
              <w:right w:w="62" w:type="dxa"/>
            </w:tcMar>
          </w:tcPr>
          <w:p w14:paraId="6A36A4B6" w14:textId="77777777" w:rsidR="00111E70" w:rsidRDefault="007A7EA5" w:rsidP="004A2F42">
            <w:pPr>
              <w:pStyle w:val="BodyText"/>
              <w:rPr>
                <w:lang w:val="en-NZ"/>
              </w:rPr>
            </w:pPr>
            <w:r w:rsidRPr="004A2F42">
              <w:t>4. Work collaboratively to prioritise needs and develop self-determined directions</w:t>
            </w:r>
          </w:p>
        </w:tc>
        <w:tc>
          <w:tcPr>
            <w:tcW w:w="5703" w:type="dxa"/>
            <w:gridSpan w:val="2"/>
            <w:tcBorders>
              <w:top w:val="nil"/>
              <w:left w:val="nil"/>
              <w:bottom w:val="nil"/>
              <w:right w:val="nil"/>
            </w:tcBorders>
            <w:tcMar>
              <w:top w:w="0" w:type="dxa"/>
              <w:left w:w="62" w:type="dxa"/>
              <w:bottom w:w="0" w:type="dxa"/>
              <w:right w:w="62" w:type="dxa"/>
            </w:tcMar>
          </w:tcPr>
          <w:p w14:paraId="6A36A4B7" w14:textId="77777777" w:rsidR="00111E70" w:rsidRPr="004A2F42" w:rsidRDefault="007A7EA5" w:rsidP="004A2F42">
            <w:pPr>
              <w:pStyle w:val="BodyText"/>
            </w:pPr>
            <w:r w:rsidRPr="004A2F42">
              <w:t xml:space="preserve">4.1 Seek agreement on the process for prioritising needs </w:t>
            </w:r>
          </w:p>
          <w:p w14:paraId="6A36A4B8" w14:textId="77777777" w:rsidR="00111E70" w:rsidRPr="004A2F42" w:rsidRDefault="007A7EA5" w:rsidP="004A2F42">
            <w:pPr>
              <w:pStyle w:val="BodyText"/>
            </w:pPr>
            <w:r w:rsidRPr="004A2F42">
              <w:t>4.2 Prioritise needs and hopes in collaboration with the person</w:t>
            </w:r>
          </w:p>
          <w:p w14:paraId="6A36A4B9" w14:textId="77777777" w:rsidR="00111E70" w:rsidRPr="004A2F42" w:rsidRDefault="007A7EA5" w:rsidP="004A2F42">
            <w:pPr>
              <w:pStyle w:val="BodyText"/>
            </w:pPr>
            <w:r w:rsidRPr="004A2F42">
              <w:t xml:space="preserve">4.3 Agree on options, directions and timelines </w:t>
            </w:r>
            <w:r w:rsidRPr="004A2F42">
              <w:tab/>
            </w:r>
          </w:p>
          <w:p w14:paraId="6A36A4BA" w14:textId="391720DD" w:rsidR="00111E70" w:rsidRPr="004A2F42" w:rsidRDefault="007A7EA5" w:rsidP="004A2F42">
            <w:pPr>
              <w:pStyle w:val="BodyText"/>
            </w:pPr>
            <w:r w:rsidRPr="004A2F42">
              <w:t xml:space="preserve">4.4 In conjunction with the person, </w:t>
            </w:r>
            <w:r w:rsidR="0040562B">
              <w:t>identify</w:t>
            </w:r>
            <w:r w:rsidR="0040562B" w:rsidRPr="004A2F42">
              <w:t xml:space="preserve"> </w:t>
            </w:r>
            <w:r w:rsidRPr="004A2F42">
              <w:t xml:space="preserve">risks, opportunities and strategies </w:t>
            </w:r>
          </w:p>
          <w:p w14:paraId="6A36A4BB" w14:textId="77777777" w:rsidR="00111E70" w:rsidRPr="004A2F42" w:rsidRDefault="007A7EA5" w:rsidP="004A2F42">
            <w:pPr>
              <w:pStyle w:val="BodyText"/>
            </w:pPr>
            <w:r w:rsidRPr="004A2F42">
              <w:t xml:space="preserve">4.5 Identify other members of their support network, other services or professionals they wish to involve </w:t>
            </w:r>
          </w:p>
          <w:p w14:paraId="6A36A4BC" w14:textId="77777777" w:rsidR="00111E70" w:rsidRPr="004A2F42" w:rsidRDefault="007A7EA5" w:rsidP="004A2F42">
            <w:pPr>
              <w:pStyle w:val="BodyText"/>
            </w:pPr>
            <w:r w:rsidRPr="004A2F42">
              <w:t>4.6 Develop and agree on contingency plans as necessary</w:t>
            </w:r>
          </w:p>
          <w:p w14:paraId="6A36A4BD" w14:textId="77777777" w:rsidR="00111E70" w:rsidRPr="004A2F42" w:rsidRDefault="007A7EA5" w:rsidP="004A2F42">
            <w:pPr>
              <w:pStyle w:val="BodyText"/>
            </w:pPr>
            <w:r w:rsidRPr="004A2F42">
              <w:t>4.7 Respond flexibly to the changing needs and circumstances of the person</w:t>
            </w:r>
          </w:p>
          <w:p w14:paraId="6A36A4BE" w14:textId="77777777" w:rsidR="00111E70" w:rsidRPr="004A2F42" w:rsidRDefault="007A7EA5" w:rsidP="004A2F42">
            <w:pPr>
              <w:pStyle w:val="BodyText"/>
            </w:pPr>
            <w:r w:rsidRPr="004A2F42">
              <w:t>4.8 Provide and negotiate flexible responses in service provision</w:t>
            </w:r>
          </w:p>
        </w:tc>
      </w:tr>
    </w:tbl>
    <w:p w14:paraId="6A36A4C0" w14:textId="77777777" w:rsidR="00111E70" w:rsidRPr="004A2F42" w:rsidRDefault="00111E70" w:rsidP="004A2F42">
      <w:pPr>
        <w:pStyle w:val="BodyText"/>
      </w:pPr>
    </w:p>
    <w:tbl>
      <w:tblPr>
        <w:tblW w:w="0" w:type="auto"/>
        <w:tblLayout w:type="fixed"/>
        <w:tblCellMar>
          <w:left w:w="62" w:type="dxa"/>
          <w:right w:w="62" w:type="dxa"/>
        </w:tblCellMar>
        <w:tblLook w:val="0000" w:firstRow="0" w:lastRow="0" w:firstColumn="0" w:lastColumn="0" w:noHBand="0" w:noVBand="0"/>
      </w:tblPr>
      <w:tblGrid>
        <w:gridCol w:w="3261"/>
        <w:gridCol w:w="5703"/>
      </w:tblGrid>
      <w:tr w:rsidR="00111E70" w14:paraId="6A36A4CB" w14:textId="77777777" w:rsidTr="004A2F42">
        <w:tc>
          <w:tcPr>
            <w:tcW w:w="3261" w:type="dxa"/>
            <w:tcBorders>
              <w:top w:val="nil"/>
              <w:left w:val="nil"/>
              <w:bottom w:val="nil"/>
              <w:right w:val="nil"/>
            </w:tcBorders>
            <w:tcMar>
              <w:top w:w="0" w:type="dxa"/>
              <w:left w:w="62" w:type="dxa"/>
              <w:bottom w:w="0" w:type="dxa"/>
              <w:right w:w="62" w:type="dxa"/>
            </w:tcMar>
          </w:tcPr>
          <w:p w14:paraId="6A36A4C1" w14:textId="77777777" w:rsidR="00111E70" w:rsidRDefault="007A7EA5" w:rsidP="004A2F42">
            <w:pPr>
              <w:pStyle w:val="BodyText"/>
              <w:rPr>
                <w:lang w:val="en-NZ"/>
              </w:rPr>
            </w:pPr>
            <w:r w:rsidRPr="004A2F42">
              <w:t>5. Coordinate and negotiate recovery oriented service</w:t>
            </w:r>
          </w:p>
        </w:tc>
        <w:tc>
          <w:tcPr>
            <w:tcW w:w="5703" w:type="dxa"/>
            <w:tcBorders>
              <w:top w:val="nil"/>
              <w:left w:val="nil"/>
              <w:bottom w:val="nil"/>
              <w:right w:val="nil"/>
            </w:tcBorders>
            <w:tcMar>
              <w:top w:w="0" w:type="dxa"/>
              <w:left w:w="62" w:type="dxa"/>
              <w:bottom w:w="0" w:type="dxa"/>
              <w:right w:w="62" w:type="dxa"/>
            </w:tcMar>
          </w:tcPr>
          <w:p w14:paraId="6A36A4C2" w14:textId="17F4F5C6" w:rsidR="00111E70" w:rsidRPr="004A2F42" w:rsidRDefault="007A7EA5" w:rsidP="004A2F42">
            <w:pPr>
              <w:pStyle w:val="BodyText"/>
            </w:pPr>
            <w:r w:rsidRPr="004A2F42">
              <w:t>5.1 Establish, expand and maintain partnerships and support networks to meet the person</w:t>
            </w:r>
            <w:r w:rsidR="00ED2296">
              <w:t>’</w:t>
            </w:r>
            <w:r w:rsidRPr="004A2F42">
              <w:t>s needs and create sustainable service pathways</w:t>
            </w:r>
          </w:p>
          <w:p w14:paraId="6A36A4C3" w14:textId="6DB3D962" w:rsidR="00111E70" w:rsidRPr="004A2F42" w:rsidRDefault="007A7EA5" w:rsidP="004A2F42">
            <w:pPr>
              <w:pStyle w:val="BodyText"/>
            </w:pPr>
            <w:r w:rsidRPr="0033149B">
              <w:rPr>
                <w:highlight w:val="yellow"/>
              </w:rPr>
              <w:t xml:space="preserve">5.2 </w:t>
            </w:r>
            <w:r w:rsidR="00877662" w:rsidRPr="0033149B">
              <w:rPr>
                <w:rStyle w:val="Strong"/>
                <w:b w:val="0"/>
                <w:bCs w:val="0"/>
              </w:rPr>
              <w:t>Integrate existing service provision in collaboration with colleagues and partner organisations</w:t>
            </w:r>
          </w:p>
          <w:p w14:paraId="6A36A4C4" w14:textId="77777777" w:rsidR="00111E70" w:rsidRPr="004A2F42" w:rsidRDefault="007A7EA5" w:rsidP="004A2F42">
            <w:pPr>
              <w:pStyle w:val="BodyText"/>
            </w:pPr>
            <w:r w:rsidRPr="004A2F42">
              <w:t>5.3 Create supportive and collaborative partnerships with carers, family, friends and community supports</w:t>
            </w:r>
          </w:p>
          <w:p w14:paraId="6A36A4C5" w14:textId="77777777" w:rsidR="00111E70" w:rsidRPr="004A2F42" w:rsidRDefault="007A7EA5" w:rsidP="004A2F42">
            <w:pPr>
              <w:pStyle w:val="BodyText"/>
            </w:pPr>
            <w:r w:rsidRPr="004A2F42">
              <w:t>5.4 Collect, review and maintain information on local community services and supports, and share and engage in knowledge exchange</w:t>
            </w:r>
          </w:p>
          <w:p w14:paraId="6A36A4C6" w14:textId="27A763FD" w:rsidR="00111E70" w:rsidRPr="004A2F42" w:rsidRDefault="007A7EA5" w:rsidP="004A2F42">
            <w:pPr>
              <w:pStyle w:val="BodyText"/>
            </w:pPr>
            <w:r w:rsidRPr="004A2F42">
              <w:t>5.5 Use outcome measures and feedback to ensure the person</w:t>
            </w:r>
            <w:r w:rsidR="00D337A7">
              <w:t>’</w:t>
            </w:r>
            <w:r w:rsidRPr="004A2F42">
              <w:t>s needs are being met by contributing services and natural supports</w:t>
            </w:r>
          </w:p>
          <w:p w14:paraId="6A36A4C7" w14:textId="63B2F4B3" w:rsidR="00111E70" w:rsidRPr="004A2F42" w:rsidRDefault="007A7EA5" w:rsidP="004A2F42">
            <w:pPr>
              <w:pStyle w:val="BodyText"/>
            </w:pPr>
            <w:r w:rsidRPr="004A2F42">
              <w:t xml:space="preserve">5.6 </w:t>
            </w:r>
            <w:r w:rsidR="00B436BD">
              <w:t>Use</w:t>
            </w:r>
            <w:r w:rsidRPr="004A2F42">
              <w:t xml:space="preserve"> a range of strategies to inspire and </w:t>
            </w:r>
            <w:r w:rsidR="00B436BD">
              <w:t>support</w:t>
            </w:r>
            <w:r w:rsidR="00B436BD" w:rsidRPr="004A2F42">
              <w:t xml:space="preserve"> </w:t>
            </w:r>
            <w:r w:rsidRPr="004A2F42">
              <w:t>the person</w:t>
            </w:r>
            <w:r w:rsidR="00B436BD">
              <w:t>’</w:t>
            </w:r>
            <w:r w:rsidRPr="004A2F42">
              <w:t xml:space="preserve">s ongoing involvement </w:t>
            </w:r>
          </w:p>
          <w:p w14:paraId="6A36A4C8" w14:textId="77777777" w:rsidR="00111E70" w:rsidRPr="004A2F42" w:rsidRDefault="007A7EA5" w:rsidP="004A2F42">
            <w:pPr>
              <w:pStyle w:val="BodyText"/>
            </w:pPr>
            <w:r w:rsidRPr="004A2F42">
              <w:t xml:space="preserve">5.7 Proactively respond to support and service gaps both internally and externally </w:t>
            </w:r>
          </w:p>
          <w:p w14:paraId="6A36A4C9" w14:textId="77777777" w:rsidR="00111E70" w:rsidRPr="004A2F42" w:rsidRDefault="007A7EA5" w:rsidP="004A2F42">
            <w:pPr>
              <w:pStyle w:val="BodyText"/>
            </w:pPr>
            <w:r w:rsidRPr="004A2F42">
              <w:t>5.8 Proactively and consistently follow up with the person and gather feedback about service provision</w:t>
            </w:r>
          </w:p>
          <w:p w14:paraId="6A36A4CA" w14:textId="77777777" w:rsidR="00111E70" w:rsidRDefault="00111E70" w:rsidP="004A2F42">
            <w:pPr>
              <w:pStyle w:val="BodyText"/>
              <w:rPr>
                <w:lang w:val="en-NZ"/>
              </w:rPr>
            </w:pPr>
          </w:p>
        </w:tc>
      </w:tr>
      <w:tr w:rsidR="00111E70" w14:paraId="6A36A4D4" w14:textId="77777777" w:rsidTr="004A2F42">
        <w:tc>
          <w:tcPr>
            <w:tcW w:w="3261" w:type="dxa"/>
            <w:tcBorders>
              <w:top w:val="nil"/>
              <w:left w:val="nil"/>
              <w:bottom w:val="nil"/>
              <w:right w:val="nil"/>
            </w:tcBorders>
            <w:tcMar>
              <w:top w:w="0" w:type="dxa"/>
              <w:left w:w="62" w:type="dxa"/>
              <w:bottom w:w="0" w:type="dxa"/>
              <w:right w:w="62" w:type="dxa"/>
            </w:tcMar>
          </w:tcPr>
          <w:p w14:paraId="6A36A4CC" w14:textId="3519B17C" w:rsidR="00111E70" w:rsidRPr="004A2F42" w:rsidRDefault="00877662" w:rsidP="004A2F42">
            <w:pPr>
              <w:pStyle w:val="BodyText"/>
            </w:pPr>
            <w:r>
              <w:t xml:space="preserve"> </w:t>
            </w:r>
            <w:r w:rsidR="007A7EA5" w:rsidRPr="004A2F42">
              <w:t>6. Address challenges to communication and relationships</w:t>
            </w:r>
          </w:p>
          <w:p w14:paraId="6A36A4CD" w14:textId="77777777" w:rsidR="00111E70" w:rsidRDefault="00111E70">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14:paraId="6A36A4CE" w14:textId="77777777" w:rsidR="00111E70" w:rsidRPr="004A2F42" w:rsidRDefault="007A7EA5" w:rsidP="004A2F42">
            <w:pPr>
              <w:pStyle w:val="BodyText"/>
            </w:pPr>
            <w:r w:rsidRPr="004A2F42">
              <w:t>6.1 Communicate clearly, honestly and transparently to develop and maintain trusting relationships</w:t>
            </w:r>
          </w:p>
          <w:p w14:paraId="6A36A4CF" w14:textId="702F9B74" w:rsidR="00111E70" w:rsidRPr="004A2F42" w:rsidRDefault="007A7EA5" w:rsidP="004A2F42">
            <w:pPr>
              <w:pStyle w:val="BodyText"/>
            </w:pPr>
            <w:r w:rsidRPr="004A2F42">
              <w:t xml:space="preserve">6.2 Adapt communication style and language to meet </w:t>
            </w:r>
            <w:r w:rsidR="00B436BD">
              <w:t>individual</w:t>
            </w:r>
            <w:r w:rsidR="00B436BD" w:rsidRPr="004A2F42">
              <w:t xml:space="preserve"> </w:t>
            </w:r>
            <w:r w:rsidRPr="004A2F42">
              <w:t xml:space="preserve">needs, </w:t>
            </w:r>
            <w:r w:rsidR="00B436BD">
              <w:t xml:space="preserve">and </w:t>
            </w:r>
            <w:r w:rsidRPr="004A2F42">
              <w:t>identify and address any barriers</w:t>
            </w:r>
          </w:p>
          <w:p w14:paraId="6A36A4D0" w14:textId="77777777" w:rsidR="00111E70" w:rsidRPr="004A2F42" w:rsidRDefault="007A7EA5" w:rsidP="004A2F42">
            <w:pPr>
              <w:pStyle w:val="BodyText"/>
            </w:pPr>
            <w:r w:rsidRPr="004A2F42">
              <w:t>6.3 Adapt to changing circumstances and respond to the reactions and feedback of others, including responding to person in distress or crisis</w:t>
            </w:r>
          </w:p>
          <w:p w14:paraId="6A36A4D1" w14:textId="77777777" w:rsidR="00111E70" w:rsidRPr="004A2F42" w:rsidRDefault="007A7EA5" w:rsidP="004A2F42">
            <w:pPr>
              <w:pStyle w:val="BodyText"/>
            </w:pPr>
            <w:r w:rsidRPr="004A2F42">
              <w:t>6.4 Proactively anticipate change and utilise advanced negotiation skills to address challenges and resolve systemic issues</w:t>
            </w:r>
          </w:p>
          <w:p w14:paraId="6A36A4D2" w14:textId="6D6B964B" w:rsidR="00111E70" w:rsidRPr="004A2F42" w:rsidRDefault="007A7EA5" w:rsidP="004A2F42">
            <w:pPr>
              <w:pStyle w:val="BodyText"/>
            </w:pPr>
            <w:r w:rsidRPr="004A2F42">
              <w:t>6.5 Respond to de-escalate potential incidents or risks and promote safety</w:t>
            </w:r>
          </w:p>
          <w:p w14:paraId="6A36A4D3" w14:textId="77777777" w:rsidR="00111E70" w:rsidRDefault="007A7EA5" w:rsidP="004A2F42">
            <w:pPr>
              <w:pStyle w:val="BodyText"/>
              <w:rPr>
                <w:lang w:val="en-NZ"/>
              </w:rPr>
            </w:pPr>
            <w:r w:rsidRPr="004A2F42">
              <w:t>6.6 Promote and support self advocacy</w:t>
            </w:r>
          </w:p>
        </w:tc>
      </w:tr>
      <w:tr w:rsidR="00111E70" w14:paraId="6A36A4D7" w14:textId="77777777" w:rsidTr="004A2F42">
        <w:tc>
          <w:tcPr>
            <w:tcW w:w="3261" w:type="dxa"/>
            <w:tcBorders>
              <w:top w:val="nil"/>
              <w:left w:val="nil"/>
              <w:bottom w:val="nil"/>
              <w:right w:val="nil"/>
            </w:tcBorders>
            <w:tcMar>
              <w:top w:w="0" w:type="dxa"/>
              <w:left w:w="62" w:type="dxa"/>
              <w:bottom w:w="0" w:type="dxa"/>
              <w:right w:w="62" w:type="dxa"/>
            </w:tcMar>
          </w:tcPr>
          <w:p w14:paraId="6A36A4D5" w14:textId="77777777" w:rsidR="00111E70" w:rsidRDefault="00111E70">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14:paraId="6A36A4D6" w14:textId="77777777" w:rsidR="00111E70" w:rsidRDefault="00111E70" w:rsidP="004A2F42">
            <w:pPr>
              <w:pStyle w:val="BodyText"/>
              <w:rPr>
                <w:lang w:val="en-NZ"/>
              </w:rPr>
            </w:pPr>
          </w:p>
        </w:tc>
      </w:tr>
      <w:tr w:rsidR="00111E70" w:rsidRPr="004A2F42" w14:paraId="6A36A4DB" w14:textId="77777777" w:rsidTr="004A2F42">
        <w:tc>
          <w:tcPr>
            <w:tcW w:w="3261" w:type="dxa"/>
            <w:tcBorders>
              <w:top w:val="nil"/>
              <w:left w:val="nil"/>
              <w:bottom w:val="nil"/>
              <w:right w:val="nil"/>
            </w:tcBorders>
            <w:tcMar>
              <w:top w:w="0" w:type="dxa"/>
              <w:left w:w="62" w:type="dxa"/>
              <w:bottom w:w="0" w:type="dxa"/>
              <w:right w:w="62" w:type="dxa"/>
            </w:tcMar>
          </w:tcPr>
          <w:p w14:paraId="6A36A4D8" w14:textId="77777777" w:rsidR="00111E70" w:rsidRDefault="007A7EA5" w:rsidP="004A2F42">
            <w:pPr>
              <w:pStyle w:val="BodyText"/>
              <w:rPr>
                <w:lang w:val="en-NZ"/>
              </w:rPr>
            </w:pPr>
            <w:r w:rsidRPr="004A2F42">
              <w:t>7. Review and reflect on practice</w:t>
            </w:r>
          </w:p>
        </w:tc>
        <w:tc>
          <w:tcPr>
            <w:tcW w:w="5703" w:type="dxa"/>
            <w:tcBorders>
              <w:top w:val="nil"/>
              <w:left w:val="nil"/>
              <w:bottom w:val="nil"/>
              <w:right w:val="nil"/>
            </w:tcBorders>
            <w:tcMar>
              <w:top w:w="0" w:type="dxa"/>
              <w:left w:w="62" w:type="dxa"/>
              <w:bottom w:w="0" w:type="dxa"/>
              <w:right w:w="62" w:type="dxa"/>
            </w:tcMar>
          </w:tcPr>
          <w:p w14:paraId="6A36A4D9" w14:textId="77777777" w:rsidR="00111E70" w:rsidRPr="004A2F42" w:rsidRDefault="007A7EA5" w:rsidP="004A2F42">
            <w:pPr>
              <w:pStyle w:val="BodyText"/>
            </w:pPr>
            <w:r w:rsidRPr="004A2F42">
              <w:t xml:space="preserve">7.1 Reflect on own work practice and identify areas for improvement </w:t>
            </w:r>
          </w:p>
          <w:p w14:paraId="6A36A4DA" w14:textId="77777777" w:rsidR="00111E70" w:rsidRPr="004A2F42" w:rsidRDefault="007A7EA5" w:rsidP="004A2F42">
            <w:pPr>
              <w:pStyle w:val="BodyText"/>
            </w:pPr>
            <w:r w:rsidRPr="004A2F42">
              <w:t>7.2 Seek and use feedback from others as the basis for improving approaches to working with complexity</w:t>
            </w:r>
          </w:p>
        </w:tc>
      </w:tr>
    </w:tbl>
    <w:p w14:paraId="6A36A4DC" w14:textId="77777777" w:rsidR="007A7EA5" w:rsidRDefault="007A7EA5" w:rsidP="004A2F42">
      <w:pPr>
        <w:pStyle w:val="BodyText"/>
      </w:pPr>
    </w:p>
    <w:p w14:paraId="6A36A4DD" w14:textId="77777777" w:rsidR="007A7EA5" w:rsidRDefault="007A7EA5" w:rsidP="004A2F42">
      <w:pPr>
        <w:pStyle w:val="BodyText"/>
      </w:pPr>
    </w:p>
    <w:p w14:paraId="6A36A4DE" w14:textId="77777777" w:rsidR="00111E70" w:rsidRPr="004A2F42" w:rsidRDefault="007A7EA5" w:rsidP="004A2F42">
      <w:pPr>
        <w:pStyle w:val="Heading1"/>
      </w:pPr>
      <w:bookmarkStart w:id="3" w:name="O_654303"/>
      <w:bookmarkEnd w:id="3"/>
      <w:r w:rsidRPr="004A2F42">
        <w:t>Foundation Skills</w:t>
      </w:r>
    </w:p>
    <w:tbl>
      <w:tblPr>
        <w:tblW w:w="0" w:type="auto"/>
        <w:tblLayout w:type="fixed"/>
        <w:tblCellMar>
          <w:left w:w="62" w:type="dxa"/>
          <w:right w:w="62" w:type="dxa"/>
        </w:tblCellMar>
        <w:tblLook w:val="0000" w:firstRow="0" w:lastRow="0" w:firstColumn="0" w:lastColumn="0" w:noHBand="0" w:noVBand="0"/>
      </w:tblPr>
      <w:tblGrid>
        <w:gridCol w:w="3294"/>
        <w:gridCol w:w="5670"/>
      </w:tblGrid>
      <w:tr w:rsidR="004A2F42" w14:paraId="6A36A4E0" w14:textId="77777777" w:rsidTr="004A2F42">
        <w:tc>
          <w:tcPr>
            <w:tcW w:w="8964" w:type="dxa"/>
            <w:gridSpan w:val="2"/>
            <w:tcBorders>
              <w:top w:val="nil"/>
              <w:left w:val="nil"/>
              <w:bottom w:val="nil"/>
              <w:right w:val="nil"/>
            </w:tcBorders>
            <w:tcMar>
              <w:top w:w="0" w:type="dxa"/>
              <w:left w:w="62" w:type="dxa"/>
              <w:bottom w:w="0" w:type="dxa"/>
              <w:right w:w="62" w:type="dxa"/>
            </w:tcMar>
          </w:tcPr>
          <w:p w14:paraId="6A36A4DF" w14:textId="77777777" w:rsidR="00111E70" w:rsidRDefault="007A7EA5" w:rsidP="004A2F42">
            <w:pPr>
              <w:pStyle w:val="BodyText"/>
              <w:rPr>
                <w:lang w:val="en-NZ"/>
              </w:rPr>
            </w:pPr>
            <w:r w:rsidRPr="004A2F42">
              <w:rPr>
                <w:rStyle w:val="Emphasis"/>
              </w:rPr>
              <w:t>The Foundation Skills described those required skills (language, literacy and numeracy) that are essential to performance.</w:t>
            </w:r>
          </w:p>
        </w:tc>
      </w:tr>
      <w:tr w:rsidR="00111E70" w14:paraId="6A36A4E3" w14:textId="77777777" w:rsidTr="004A2F42">
        <w:tc>
          <w:tcPr>
            <w:tcW w:w="3294" w:type="dxa"/>
            <w:tcBorders>
              <w:top w:val="nil"/>
              <w:left w:val="nil"/>
              <w:bottom w:val="nil"/>
              <w:right w:val="nil"/>
            </w:tcBorders>
            <w:tcMar>
              <w:top w:w="0" w:type="dxa"/>
              <w:left w:w="62" w:type="dxa"/>
              <w:bottom w:w="0" w:type="dxa"/>
              <w:right w:w="62" w:type="dxa"/>
            </w:tcMar>
          </w:tcPr>
          <w:p w14:paraId="6A36A4E1" w14:textId="77777777" w:rsidR="00111E70" w:rsidRDefault="00111E70">
            <w:pPr>
              <w:pStyle w:val="BodyText"/>
              <w:keepLines w:val="0"/>
              <w:rPr>
                <w:rFonts w:ascii="Tahoma" w:hAnsi="Tahoma"/>
                <w:sz w:val="20"/>
                <w:lang w:val="en-NZ"/>
              </w:rPr>
            </w:pPr>
          </w:p>
        </w:tc>
        <w:tc>
          <w:tcPr>
            <w:tcW w:w="5670" w:type="dxa"/>
            <w:tcBorders>
              <w:top w:val="nil"/>
              <w:left w:val="nil"/>
              <w:bottom w:val="nil"/>
              <w:right w:val="nil"/>
            </w:tcBorders>
            <w:tcMar>
              <w:top w:w="0" w:type="dxa"/>
              <w:left w:w="62" w:type="dxa"/>
              <w:bottom w:w="0" w:type="dxa"/>
              <w:right w:w="62" w:type="dxa"/>
            </w:tcMar>
          </w:tcPr>
          <w:p w14:paraId="6A36A4E2" w14:textId="77777777" w:rsidR="00111E70" w:rsidRDefault="00111E70" w:rsidP="004A2F42">
            <w:pPr>
              <w:pStyle w:val="BodyText"/>
              <w:rPr>
                <w:lang w:val="en-NZ"/>
              </w:rPr>
            </w:pPr>
          </w:p>
        </w:tc>
      </w:tr>
      <w:tr w:rsidR="004A2F42" w:rsidRPr="004A2F42" w14:paraId="6A36A4E5" w14:textId="77777777" w:rsidTr="004A2F42">
        <w:tc>
          <w:tcPr>
            <w:tcW w:w="8964" w:type="dxa"/>
            <w:gridSpan w:val="2"/>
            <w:tcBorders>
              <w:top w:val="nil"/>
              <w:left w:val="nil"/>
              <w:bottom w:val="nil"/>
              <w:right w:val="nil"/>
            </w:tcBorders>
            <w:tcMar>
              <w:top w:w="0" w:type="dxa"/>
              <w:left w:w="62" w:type="dxa"/>
              <w:bottom w:w="0" w:type="dxa"/>
              <w:right w:w="62" w:type="dxa"/>
            </w:tcMar>
          </w:tcPr>
          <w:p w14:paraId="6A36A4E4" w14:textId="77777777" w:rsidR="00111E70" w:rsidRPr="004A2F42" w:rsidRDefault="007A7EA5" w:rsidP="004A2F42">
            <w:pPr>
              <w:pStyle w:val="BodyText"/>
            </w:pPr>
            <w:r w:rsidRPr="004A2F42">
              <w:t>Foundation skills essential to performance are explicit in the performance criteria of this unit of competency.</w:t>
            </w:r>
          </w:p>
        </w:tc>
      </w:tr>
    </w:tbl>
    <w:p w14:paraId="6A36A4E6" w14:textId="77777777" w:rsidR="00111E70" w:rsidRPr="004A2F42" w:rsidRDefault="00111E70" w:rsidP="004A2F42">
      <w:pPr>
        <w:pStyle w:val="BodyText"/>
      </w:pPr>
    </w:p>
    <w:p w14:paraId="6A36A4E7" w14:textId="77777777" w:rsidR="00111E70" w:rsidRPr="004A2F42" w:rsidRDefault="00111E70" w:rsidP="004A2F42">
      <w:pPr>
        <w:pStyle w:val="AllowPageBreak"/>
      </w:pPr>
    </w:p>
    <w:p w14:paraId="6A36A4E8" w14:textId="77777777" w:rsidR="00111E70" w:rsidRPr="004A2F42" w:rsidRDefault="007A7EA5" w:rsidP="004A2F42">
      <w:pPr>
        <w:pStyle w:val="Heading1"/>
      </w:pPr>
      <w:bookmarkStart w:id="4" w:name="O_654305"/>
      <w:bookmarkEnd w:id="4"/>
      <w:r w:rsidRPr="004A2F42">
        <w:t>Unit Mapping Information</w:t>
      </w:r>
    </w:p>
    <w:p w14:paraId="6A36A4E9" w14:textId="77777777" w:rsidR="007A7EA5" w:rsidRDefault="007A7EA5" w:rsidP="007A7EA5">
      <w:pPr>
        <w:pStyle w:val="BodyText"/>
      </w:pPr>
      <w:r w:rsidRPr="004A2F42">
        <w:t>No equivalent unit.</w:t>
      </w:r>
    </w:p>
    <w:p w14:paraId="6A36A4EA" w14:textId="77777777" w:rsidR="00111E70" w:rsidRPr="004A2F42" w:rsidRDefault="007A7EA5" w:rsidP="004A2F42">
      <w:pPr>
        <w:pStyle w:val="Heading1"/>
      </w:pPr>
      <w:bookmarkStart w:id="5" w:name="O_654312"/>
      <w:bookmarkEnd w:id="5"/>
      <w:r w:rsidRPr="004A2F42">
        <w:t>Links</w:t>
      </w:r>
    </w:p>
    <w:p w14:paraId="6A36A4EB" w14:textId="53719D54" w:rsidR="00111E70" w:rsidRPr="004A2F42" w:rsidRDefault="007A7EA5" w:rsidP="007A7EA5">
      <w:pPr>
        <w:pStyle w:val="BodyText"/>
      </w:pPr>
      <w:r w:rsidRPr="004A2F42">
        <w:t xml:space="preserve">Companion Volume implementation guides are found in VETNet - </w:t>
      </w:r>
    </w:p>
    <w:p w14:paraId="4CEAC985" w14:textId="77777777" w:rsidR="00660078" w:rsidRPr="00650CA9" w:rsidRDefault="00660078" w:rsidP="00660078">
      <w:pPr>
        <w:pStyle w:val="SuperHeading"/>
      </w:pPr>
      <w:r>
        <w:br w:type="page"/>
      </w:r>
      <w:r w:rsidRPr="00650CA9">
        <w:t xml:space="preserve">Assessment Requirements for CHCMHS010 Implement recovery oriented approaches to complexity </w:t>
      </w:r>
    </w:p>
    <w:p w14:paraId="6641D8B2" w14:textId="77777777" w:rsidR="00660078" w:rsidRPr="00650CA9" w:rsidRDefault="00660078" w:rsidP="00660078">
      <w:pPr>
        <w:pStyle w:val="Heading1"/>
      </w:pPr>
      <w:bookmarkStart w:id="6" w:name="O_654307"/>
      <w:bookmarkEnd w:id="6"/>
      <w:r w:rsidRPr="00650CA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660078" w14:paraId="700EB90A"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7230C4B" w14:textId="77777777" w:rsidR="00660078" w:rsidRPr="00650CA9" w:rsidRDefault="00660078" w:rsidP="00244911">
            <w:pPr>
              <w:pStyle w:val="BodyText"/>
            </w:pPr>
            <w:r w:rsidRPr="00650CA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69B54BD" w14:textId="77777777" w:rsidR="00660078" w:rsidRDefault="00660078" w:rsidP="00244911">
            <w:pPr>
              <w:pStyle w:val="BodyText"/>
              <w:rPr>
                <w:lang w:val="en-NZ"/>
              </w:rPr>
            </w:pPr>
            <w:r w:rsidRPr="00650CA9">
              <w:rPr>
                <w:rStyle w:val="SpecialBold"/>
              </w:rPr>
              <w:t>Comments</w:t>
            </w:r>
          </w:p>
        </w:tc>
      </w:tr>
      <w:tr w:rsidR="00660078" w:rsidRPr="00650CA9" w14:paraId="48F8AF35"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FDDA16D" w14:textId="48AD7083" w:rsidR="00660078" w:rsidRDefault="00660078" w:rsidP="00244911">
            <w:pPr>
              <w:pStyle w:val="BodyText"/>
              <w:rPr>
                <w:lang w:val="en-NZ"/>
              </w:rPr>
            </w:pPr>
            <w:r w:rsidRPr="00650CA9">
              <w:t xml:space="preserve">Release </w:t>
            </w:r>
            <w:r w:rsidR="0040562B">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1D6654A" w14:textId="0C143FE9" w:rsidR="00660078" w:rsidRPr="00650CA9" w:rsidRDefault="00660078" w:rsidP="00244911">
            <w:pPr>
              <w:pStyle w:val="BodyText"/>
            </w:pPr>
            <w:r w:rsidRPr="00650CA9">
              <w:t xml:space="preserve"> </w:t>
            </w:r>
          </w:p>
        </w:tc>
      </w:tr>
    </w:tbl>
    <w:p w14:paraId="076670AE" w14:textId="77777777" w:rsidR="00660078" w:rsidRDefault="00660078" w:rsidP="00660078">
      <w:pPr>
        <w:pStyle w:val="BodyText"/>
      </w:pPr>
    </w:p>
    <w:p w14:paraId="7FFD7050" w14:textId="77777777" w:rsidR="00660078" w:rsidRDefault="00660078" w:rsidP="00660078">
      <w:pPr>
        <w:pStyle w:val="BodyText"/>
      </w:pPr>
    </w:p>
    <w:p w14:paraId="38CABA9A" w14:textId="77777777" w:rsidR="00660078" w:rsidRPr="00650CA9" w:rsidRDefault="00660078" w:rsidP="00660078">
      <w:pPr>
        <w:pStyle w:val="Heading1"/>
      </w:pPr>
      <w:bookmarkStart w:id="7" w:name="O_654308"/>
      <w:bookmarkEnd w:id="7"/>
      <w:r w:rsidRPr="00650CA9">
        <w:t>Performance Evidence</w:t>
      </w:r>
    </w:p>
    <w:p w14:paraId="5465846E" w14:textId="77777777" w:rsidR="00660078" w:rsidRPr="00650CA9" w:rsidRDefault="00660078" w:rsidP="00660078">
      <w:pPr>
        <w:pStyle w:val="BodyText"/>
      </w:pPr>
      <w:r w:rsidRPr="00650CA9">
        <w:t>The candidate must show evidence of the ability to complete tasks outlined in elements and performance criteria of this unit, manage tasks and manage contingencies in the context of the job role. There must be evidence that the candidate has:</w:t>
      </w:r>
    </w:p>
    <w:p w14:paraId="55964BAC" w14:textId="7FE481F1" w:rsidR="00660078" w:rsidRPr="00650CA9" w:rsidRDefault="00660078" w:rsidP="00660078">
      <w:pPr>
        <w:pStyle w:val="ListBullet"/>
      </w:pPr>
      <w:r w:rsidRPr="00650CA9">
        <w:t xml:space="preserve">performed the activities outlined in the performance criteria of this unit during a period of </w:t>
      </w:r>
      <w:r w:rsidRPr="008D5A3C">
        <w:t>160 hours of work</w:t>
      </w:r>
      <w:r w:rsidRPr="00650CA9">
        <w:t xml:space="preserve"> worked collaboratively with at least 3 different people with mental </w:t>
      </w:r>
      <w:r w:rsidR="008D5A3C">
        <w:t>health challenges</w:t>
      </w:r>
      <w:r w:rsidRPr="00650CA9">
        <w:t>, and as relevant, their support network, to develop and implement a recovery plan</w:t>
      </w:r>
    </w:p>
    <w:p w14:paraId="01E1EBEA" w14:textId="77777777" w:rsidR="00660078" w:rsidRPr="00650CA9" w:rsidRDefault="00660078" w:rsidP="00660078">
      <w:pPr>
        <w:pStyle w:val="ListBullet"/>
      </w:pPr>
      <w:r w:rsidRPr="00650CA9">
        <w:t>worked with at least 4 of the following complexity issues with those people:</w:t>
      </w:r>
    </w:p>
    <w:p w14:paraId="53242F19" w14:textId="77777777" w:rsidR="00660078" w:rsidRPr="00650CA9" w:rsidRDefault="00660078" w:rsidP="00660078">
      <w:pPr>
        <w:pStyle w:val="ListBullet2"/>
      </w:pPr>
      <w:r w:rsidRPr="00650CA9">
        <w:t>alcohol and other drugs (AOD)</w:t>
      </w:r>
    </w:p>
    <w:p w14:paraId="2E2FA9AD" w14:textId="77777777" w:rsidR="00660078" w:rsidRPr="00650CA9" w:rsidRDefault="00660078" w:rsidP="00660078">
      <w:pPr>
        <w:pStyle w:val="ListBullet2"/>
      </w:pPr>
      <w:r w:rsidRPr="00650CA9">
        <w:t>gambling</w:t>
      </w:r>
    </w:p>
    <w:p w14:paraId="758D2949" w14:textId="77777777" w:rsidR="00660078" w:rsidRPr="00650CA9" w:rsidRDefault="00660078" w:rsidP="00660078">
      <w:pPr>
        <w:pStyle w:val="ListBullet2"/>
      </w:pPr>
      <w:r w:rsidRPr="00650CA9">
        <w:t>torture</w:t>
      </w:r>
    </w:p>
    <w:p w14:paraId="4375D4BF" w14:textId="77777777" w:rsidR="00660078" w:rsidRPr="00650CA9" w:rsidRDefault="00660078" w:rsidP="00660078">
      <w:pPr>
        <w:pStyle w:val="ListBullet2"/>
      </w:pPr>
      <w:r w:rsidRPr="00650CA9">
        <w:t>grief and loss</w:t>
      </w:r>
    </w:p>
    <w:p w14:paraId="1A6F8D90" w14:textId="77777777" w:rsidR="00660078" w:rsidRPr="00650CA9" w:rsidRDefault="00660078" w:rsidP="00660078">
      <w:pPr>
        <w:pStyle w:val="ListBullet2"/>
      </w:pPr>
      <w:r w:rsidRPr="00650CA9">
        <w:t>disability</w:t>
      </w:r>
    </w:p>
    <w:p w14:paraId="44968F8D" w14:textId="43CB5404" w:rsidR="00660078" w:rsidRPr="00650CA9" w:rsidRDefault="00660078" w:rsidP="007930DB">
      <w:pPr>
        <w:pStyle w:val="ListBullet2"/>
      </w:pPr>
      <w:r w:rsidRPr="00650CA9">
        <w:t>family</w:t>
      </w:r>
      <w:r w:rsidR="00352651">
        <w:t>, domestic and sexual</w:t>
      </w:r>
      <w:r w:rsidRPr="00650CA9">
        <w:t xml:space="preserve"> violence</w:t>
      </w:r>
    </w:p>
    <w:p w14:paraId="5F0DDD93" w14:textId="77777777" w:rsidR="00660078" w:rsidRPr="00650CA9" w:rsidRDefault="00660078" w:rsidP="00660078">
      <w:pPr>
        <w:pStyle w:val="ListBullet2"/>
      </w:pPr>
      <w:r w:rsidRPr="00650CA9">
        <w:t>child protection</w:t>
      </w:r>
    </w:p>
    <w:p w14:paraId="31FA49F0" w14:textId="77777777" w:rsidR="00660078" w:rsidRPr="00650CA9" w:rsidRDefault="00660078" w:rsidP="00660078">
      <w:pPr>
        <w:pStyle w:val="ListBullet2"/>
      </w:pPr>
      <w:r w:rsidRPr="00650CA9">
        <w:t>justice system</w:t>
      </w:r>
    </w:p>
    <w:p w14:paraId="7801F578" w14:textId="77777777" w:rsidR="00D22D7D" w:rsidRPr="00D22D7D" w:rsidRDefault="00660078" w:rsidP="0033149B">
      <w:pPr>
        <w:pStyle w:val="ListBullet2"/>
      </w:pPr>
      <w:r w:rsidRPr="00D22D7D">
        <w:t>social housing</w:t>
      </w:r>
    </w:p>
    <w:p w14:paraId="69F3477D" w14:textId="7C59F282" w:rsidR="00660078" w:rsidRDefault="00660078" w:rsidP="00D22D7D">
      <w:pPr>
        <w:pStyle w:val="ListBullet2"/>
      </w:pPr>
      <w:r w:rsidRPr="00D22D7D">
        <w:t>homelessness</w:t>
      </w:r>
    </w:p>
    <w:p w14:paraId="253A6B36" w14:textId="06CC8D82" w:rsidR="00D22D7D" w:rsidRPr="00D22D7D" w:rsidRDefault="00D22D7D" w:rsidP="00D22D7D">
      <w:pPr>
        <w:pStyle w:val="ListBullet2"/>
      </w:pPr>
      <w:r>
        <w:t>at risk of homelessness</w:t>
      </w:r>
    </w:p>
    <w:p w14:paraId="350A754E" w14:textId="77777777" w:rsidR="00660078" w:rsidRPr="00650CA9" w:rsidRDefault="00660078" w:rsidP="00660078">
      <w:pPr>
        <w:pStyle w:val="AllowPageBreak"/>
      </w:pPr>
    </w:p>
    <w:p w14:paraId="6D430494" w14:textId="77777777" w:rsidR="00660078" w:rsidRPr="00650CA9" w:rsidRDefault="00660078" w:rsidP="00660078">
      <w:pPr>
        <w:pStyle w:val="Heading1"/>
      </w:pPr>
      <w:bookmarkStart w:id="8" w:name="O_654309"/>
      <w:bookmarkEnd w:id="8"/>
      <w:r w:rsidRPr="00650CA9">
        <w:t>Knowledge Evidence</w:t>
      </w:r>
    </w:p>
    <w:p w14:paraId="3F139A67" w14:textId="77777777" w:rsidR="00660078" w:rsidRPr="00650CA9" w:rsidRDefault="00660078" w:rsidP="00660078">
      <w:pPr>
        <w:pStyle w:val="BodyText"/>
      </w:pPr>
      <w:r w:rsidRPr="00650CA9">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6E1725D3" w14:textId="77777777" w:rsidR="00660078" w:rsidRPr="00650CA9" w:rsidRDefault="00660078" w:rsidP="00660078">
      <w:pPr>
        <w:pStyle w:val="ListBullet"/>
      </w:pPr>
      <w:r w:rsidRPr="00650CA9">
        <w:t>legal and ethical considerations (international, national, state/territory and local) for addressing complexity in mental health work, and how these are applied in organisations and individual practice:</w:t>
      </w:r>
    </w:p>
    <w:p w14:paraId="091309A4" w14:textId="77777777" w:rsidR="00660078" w:rsidRPr="00650CA9" w:rsidRDefault="00660078" w:rsidP="00660078">
      <w:pPr>
        <w:pStyle w:val="ListBullet2"/>
      </w:pPr>
      <w:r w:rsidRPr="00650CA9">
        <w:t>codes of practice</w:t>
      </w:r>
    </w:p>
    <w:p w14:paraId="3A6580F7" w14:textId="77777777" w:rsidR="00660078" w:rsidRPr="00650CA9" w:rsidRDefault="00660078" w:rsidP="00660078">
      <w:pPr>
        <w:pStyle w:val="ListBullet2"/>
      </w:pPr>
      <w:r w:rsidRPr="00650CA9">
        <w:t xml:space="preserve">continuing professional education </w:t>
      </w:r>
    </w:p>
    <w:p w14:paraId="631159E5" w14:textId="77777777" w:rsidR="00660078" w:rsidRPr="00650CA9" w:rsidRDefault="00660078" w:rsidP="00660078">
      <w:pPr>
        <w:pStyle w:val="ListBullet2"/>
      </w:pPr>
      <w:r w:rsidRPr="00650CA9">
        <w:t>discrimination</w:t>
      </w:r>
    </w:p>
    <w:p w14:paraId="2BB2A20D" w14:textId="77777777" w:rsidR="00660078" w:rsidRPr="00650CA9" w:rsidRDefault="00660078" w:rsidP="00660078">
      <w:pPr>
        <w:pStyle w:val="ListBullet2"/>
      </w:pPr>
      <w:r w:rsidRPr="00650CA9">
        <w:t xml:space="preserve">dignity of risk </w:t>
      </w:r>
    </w:p>
    <w:p w14:paraId="7EFF89DC" w14:textId="77777777" w:rsidR="00660078" w:rsidRPr="00650CA9" w:rsidRDefault="00660078" w:rsidP="00660078">
      <w:pPr>
        <w:pStyle w:val="ListBullet2"/>
      </w:pPr>
      <w:r w:rsidRPr="00650CA9">
        <w:t xml:space="preserve">duty of care </w:t>
      </w:r>
    </w:p>
    <w:p w14:paraId="2C58C585" w14:textId="77777777" w:rsidR="00660078" w:rsidRPr="00650CA9" w:rsidRDefault="00660078" w:rsidP="00660078">
      <w:pPr>
        <w:pStyle w:val="ListBullet2"/>
      </w:pPr>
      <w:r w:rsidRPr="00650CA9">
        <w:t xml:space="preserve">human rights </w:t>
      </w:r>
    </w:p>
    <w:p w14:paraId="649E37E3" w14:textId="77777777" w:rsidR="00660078" w:rsidRPr="00650CA9" w:rsidRDefault="00660078" w:rsidP="00660078">
      <w:pPr>
        <w:pStyle w:val="ListBullet2"/>
      </w:pPr>
      <w:r w:rsidRPr="00650CA9">
        <w:t xml:space="preserve">informed consent </w:t>
      </w:r>
    </w:p>
    <w:p w14:paraId="24D2DEA0" w14:textId="77777777" w:rsidR="00660078" w:rsidRPr="00650CA9" w:rsidRDefault="00660078" w:rsidP="00660078">
      <w:pPr>
        <w:pStyle w:val="ListBullet2"/>
      </w:pPr>
      <w:r w:rsidRPr="00650CA9">
        <w:t xml:space="preserve">mandatory reporting </w:t>
      </w:r>
    </w:p>
    <w:p w14:paraId="48B36DD3" w14:textId="77777777" w:rsidR="00660078" w:rsidRPr="00650CA9" w:rsidRDefault="00660078" w:rsidP="00660078">
      <w:pPr>
        <w:pStyle w:val="ListBullet2"/>
      </w:pPr>
      <w:r w:rsidRPr="00650CA9">
        <w:t xml:space="preserve">practice standards </w:t>
      </w:r>
    </w:p>
    <w:p w14:paraId="26891F5B" w14:textId="77777777" w:rsidR="00660078" w:rsidRPr="00650CA9" w:rsidRDefault="00660078" w:rsidP="00660078">
      <w:pPr>
        <w:pStyle w:val="ListBullet2"/>
      </w:pPr>
      <w:r w:rsidRPr="00650CA9">
        <w:t>privacy, confidentiality and disclosure</w:t>
      </w:r>
    </w:p>
    <w:p w14:paraId="7584A884" w14:textId="77777777" w:rsidR="00660078" w:rsidRPr="00650CA9" w:rsidRDefault="00660078" w:rsidP="00660078">
      <w:pPr>
        <w:pStyle w:val="ListBullet2"/>
      </w:pPr>
      <w:r w:rsidRPr="00650CA9">
        <w:t xml:space="preserve">policy frameworks </w:t>
      </w:r>
    </w:p>
    <w:p w14:paraId="7D41D493" w14:textId="77777777" w:rsidR="00660078" w:rsidRPr="00650CA9" w:rsidRDefault="00660078" w:rsidP="00660078">
      <w:pPr>
        <w:pStyle w:val="ListBullet2"/>
      </w:pPr>
      <w:r w:rsidRPr="00650CA9">
        <w:t xml:space="preserve">records management </w:t>
      </w:r>
    </w:p>
    <w:p w14:paraId="6184F892" w14:textId="5F5B4B61" w:rsidR="00660078" w:rsidRPr="00650CA9" w:rsidRDefault="00660078" w:rsidP="00660078">
      <w:pPr>
        <w:pStyle w:val="ListBullet2"/>
      </w:pPr>
      <w:r w:rsidRPr="00650CA9">
        <w:t xml:space="preserve">rights and responsibilities of workers, employers and </w:t>
      </w:r>
      <w:r w:rsidR="008D5A3C">
        <w:t>people</w:t>
      </w:r>
      <w:r w:rsidR="008D5A3C" w:rsidRPr="00650CA9">
        <w:t xml:space="preserve"> </w:t>
      </w:r>
      <w:r w:rsidRPr="00650CA9">
        <w:t>accessing service</w:t>
      </w:r>
      <w:r w:rsidR="008D5A3C">
        <w:t>s</w:t>
      </w:r>
    </w:p>
    <w:p w14:paraId="4540EBE7" w14:textId="77777777" w:rsidR="00660078" w:rsidRPr="00650CA9" w:rsidRDefault="00660078" w:rsidP="00660078">
      <w:pPr>
        <w:pStyle w:val="ListBullet2"/>
      </w:pPr>
      <w:r w:rsidRPr="00650CA9">
        <w:t>specific mental health legislation and its impact on individual workers</w:t>
      </w:r>
    </w:p>
    <w:p w14:paraId="66A6E837" w14:textId="77777777" w:rsidR="00660078" w:rsidRPr="00650CA9" w:rsidRDefault="00660078" w:rsidP="00660078">
      <w:pPr>
        <w:pStyle w:val="ListBullet2"/>
      </w:pPr>
      <w:r w:rsidRPr="00650CA9">
        <w:t>work role boundaries – responsibilities and limitations</w:t>
      </w:r>
    </w:p>
    <w:p w14:paraId="2C276404" w14:textId="77777777" w:rsidR="00660078" w:rsidRPr="00650CA9" w:rsidRDefault="00660078" w:rsidP="00660078">
      <w:pPr>
        <w:pStyle w:val="ListBullet2"/>
      </w:pPr>
      <w:r w:rsidRPr="00650CA9">
        <w:t>work health and safety</w:t>
      </w:r>
    </w:p>
    <w:p w14:paraId="7E34C5B7" w14:textId="77777777" w:rsidR="00660078" w:rsidRPr="00650CA9" w:rsidRDefault="00660078" w:rsidP="00660078">
      <w:pPr>
        <w:pStyle w:val="ListBullet"/>
      </w:pPr>
      <w:r w:rsidRPr="00650CA9">
        <w:t>values and principles of the mental health sector, including:</w:t>
      </w:r>
    </w:p>
    <w:p w14:paraId="0095B623" w14:textId="6EF93D8B" w:rsidR="00660078" w:rsidRPr="00650CA9" w:rsidRDefault="00660078" w:rsidP="00660078">
      <w:pPr>
        <w:pStyle w:val="ListBullet2"/>
      </w:pPr>
      <w:r w:rsidRPr="00650CA9">
        <w:t>recovery</w:t>
      </w:r>
      <w:r w:rsidR="008D5A3C">
        <w:t xml:space="preserve"> and </w:t>
      </w:r>
      <w:r w:rsidRPr="00650CA9">
        <w:t>recovery oriented practice</w:t>
      </w:r>
    </w:p>
    <w:p w14:paraId="0A7903AE" w14:textId="77777777" w:rsidR="00660078" w:rsidRPr="00650CA9" w:rsidRDefault="00660078" w:rsidP="00660078">
      <w:pPr>
        <w:pStyle w:val="ListBullet2"/>
      </w:pPr>
      <w:r w:rsidRPr="00650CA9">
        <w:t>health promotion and prevention</w:t>
      </w:r>
    </w:p>
    <w:p w14:paraId="5F8EEF12" w14:textId="77777777" w:rsidR="00660078" w:rsidRPr="00650CA9" w:rsidRDefault="00660078" w:rsidP="00660078">
      <w:pPr>
        <w:pStyle w:val="ListBullet2"/>
      </w:pPr>
      <w:r w:rsidRPr="00650CA9">
        <w:t>holistic approach</w:t>
      </w:r>
    </w:p>
    <w:p w14:paraId="0976681C" w14:textId="6ABADE60" w:rsidR="00660078" w:rsidRPr="00650CA9" w:rsidRDefault="00660078" w:rsidP="00660078">
      <w:pPr>
        <w:pStyle w:val="ListBullet2"/>
      </w:pPr>
      <w:r w:rsidRPr="00650CA9">
        <w:t>empowerment</w:t>
      </w:r>
      <w:r w:rsidR="008D5A3C">
        <w:t xml:space="preserve"> and the impact of </w:t>
      </w:r>
      <w:r w:rsidRPr="00650CA9">
        <w:t>disempowerment</w:t>
      </w:r>
    </w:p>
    <w:p w14:paraId="1E84BEE2" w14:textId="77777777" w:rsidR="00660078" w:rsidRPr="00650CA9" w:rsidRDefault="00660078" w:rsidP="00660078">
      <w:pPr>
        <w:pStyle w:val="ListBullet2"/>
      </w:pPr>
      <w:r w:rsidRPr="00650CA9">
        <w:t>access and equity</w:t>
      </w:r>
    </w:p>
    <w:p w14:paraId="659BAD3B" w14:textId="77777777" w:rsidR="00660078" w:rsidRPr="00650CA9" w:rsidRDefault="00660078" w:rsidP="00660078">
      <w:pPr>
        <w:pStyle w:val="ListBullet2"/>
      </w:pPr>
      <w:r w:rsidRPr="00650CA9">
        <w:t>early intervention</w:t>
      </w:r>
    </w:p>
    <w:p w14:paraId="20519511" w14:textId="77777777" w:rsidR="00660078" w:rsidRPr="00650CA9" w:rsidRDefault="00660078" w:rsidP="00660078">
      <w:pPr>
        <w:pStyle w:val="ListBullet2"/>
      </w:pPr>
      <w:r w:rsidRPr="00650CA9">
        <w:t>rights</w:t>
      </w:r>
    </w:p>
    <w:p w14:paraId="74D05E7A" w14:textId="77777777" w:rsidR="00660078" w:rsidRPr="00650CA9" w:rsidRDefault="00660078" w:rsidP="00660078">
      <w:pPr>
        <w:pStyle w:val="ListBullet2"/>
      </w:pPr>
      <w:r w:rsidRPr="00650CA9">
        <w:t>social justice and inclusion</w:t>
      </w:r>
    </w:p>
    <w:p w14:paraId="78C55C16" w14:textId="77777777" w:rsidR="00660078" w:rsidRDefault="00660078" w:rsidP="00660078">
      <w:pPr>
        <w:pStyle w:val="ListBullet2"/>
      </w:pPr>
      <w:r w:rsidRPr="00650CA9">
        <w:t>citizenship</w:t>
      </w:r>
    </w:p>
    <w:p w14:paraId="59944A97" w14:textId="1F8A0484" w:rsidR="008D5A3C" w:rsidRPr="00650CA9" w:rsidRDefault="008D5A3C" w:rsidP="00660078">
      <w:pPr>
        <w:pStyle w:val="ListBullet2"/>
      </w:pPr>
      <w:r>
        <w:t>recognising the role of lived experience in recovery</w:t>
      </w:r>
    </w:p>
    <w:p w14:paraId="466ABC3E" w14:textId="0C3C7D3C" w:rsidR="00660078" w:rsidRPr="00650CA9" w:rsidRDefault="00660078" w:rsidP="00660078">
      <w:pPr>
        <w:pStyle w:val="ListBullet"/>
      </w:pPr>
      <w:r w:rsidRPr="00650CA9">
        <w:t>advocacy</w:t>
      </w:r>
      <w:r w:rsidR="008D5A3C">
        <w:t>, including supporting</w:t>
      </w:r>
      <w:r w:rsidRPr="00650CA9">
        <w:t xml:space="preserve"> </w:t>
      </w:r>
      <w:r w:rsidR="008D5A3C" w:rsidRPr="00650CA9">
        <w:t>self</w:t>
      </w:r>
      <w:r w:rsidR="008D5A3C">
        <w:t>-</w:t>
      </w:r>
      <w:r w:rsidRPr="00650CA9">
        <w:t xml:space="preserve">advocacy </w:t>
      </w:r>
      <w:r w:rsidR="008D5A3C">
        <w:t xml:space="preserve">and </w:t>
      </w:r>
      <w:r w:rsidR="008D5A3C" w:rsidRPr="00650CA9">
        <w:t>strength</w:t>
      </w:r>
      <w:r w:rsidR="008D5A3C">
        <w:t>-</w:t>
      </w:r>
      <w:r w:rsidRPr="00650CA9">
        <w:t>based practice</w:t>
      </w:r>
    </w:p>
    <w:p w14:paraId="07C460EE" w14:textId="079D1ACD" w:rsidR="00660078" w:rsidRPr="00650CA9" w:rsidRDefault="00660078" w:rsidP="00660078">
      <w:pPr>
        <w:pStyle w:val="ListBullet"/>
      </w:pPr>
      <w:r w:rsidRPr="00650CA9">
        <w:t xml:space="preserve">factors that </w:t>
      </w:r>
      <w:r w:rsidR="008D5A3C">
        <w:t xml:space="preserve">may </w:t>
      </w:r>
      <w:r w:rsidRPr="00650CA9">
        <w:t xml:space="preserve">contribute to complexity </w:t>
      </w:r>
      <w:r w:rsidR="008D5A3C">
        <w:t>in a person’s circumstances</w:t>
      </w:r>
      <w:r w:rsidRPr="00650CA9">
        <w:t xml:space="preserve">, including: </w:t>
      </w:r>
    </w:p>
    <w:p w14:paraId="3FC93F45" w14:textId="12AA978C" w:rsidR="00D337A7" w:rsidRPr="0033149B" w:rsidRDefault="00D337A7" w:rsidP="0033149B">
      <w:pPr>
        <w:pStyle w:val="ListBullet"/>
        <w:ind w:left="720"/>
      </w:pPr>
      <w:r w:rsidRPr="0033149B">
        <w:t>co-occurring mental health and alcohol and other drug (AOD) issues</w:t>
      </w:r>
    </w:p>
    <w:p w14:paraId="268D1D93" w14:textId="5EEA709F" w:rsidR="00D337A7" w:rsidRPr="0033149B" w:rsidRDefault="00D337A7" w:rsidP="0033149B">
      <w:pPr>
        <w:pStyle w:val="ListBullet"/>
        <w:ind w:left="720"/>
      </w:pPr>
      <w:r w:rsidRPr="0033149B">
        <w:t>trauma histories, including torture and intergenerational trauma</w:t>
      </w:r>
    </w:p>
    <w:p w14:paraId="0EB44C46" w14:textId="33D91DF8" w:rsidR="00D337A7" w:rsidRPr="0033149B" w:rsidRDefault="00D337A7" w:rsidP="0033149B">
      <w:pPr>
        <w:pStyle w:val="ListBullet"/>
        <w:ind w:left="720"/>
      </w:pPr>
      <w:r w:rsidRPr="0033149B">
        <w:t>grief and loss</w:t>
      </w:r>
    </w:p>
    <w:p w14:paraId="35DED1ED" w14:textId="2E17DD65" w:rsidR="00D337A7" w:rsidRPr="0033149B" w:rsidRDefault="00D337A7" w:rsidP="0033149B">
      <w:pPr>
        <w:pStyle w:val="ListBullet"/>
        <w:ind w:left="720"/>
      </w:pPr>
      <w:r w:rsidRPr="0033149B">
        <w:t>chronic physical health conditions</w:t>
      </w:r>
    </w:p>
    <w:p w14:paraId="4028494A" w14:textId="7393C7B5" w:rsidR="00D337A7" w:rsidRPr="0033149B" w:rsidRDefault="00D337A7" w:rsidP="0033149B">
      <w:pPr>
        <w:pStyle w:val="ListBullet"/>
        <w:ind w:left="720"/>
      </w:pPr>
      <w:r w:rsidRPr="0033149B">
        <w:t>gambling-related harm</w:t>
      </w:r>
    </w:p>
    <w:p w14:paraId="64906DB4" w14:textId="3BA8F7BC" w:rsidR="00D337A7" w:rsidRPr="0033149B" w:rsidRDefault="00D337A7" w:rsidP="0033149B">
      <w:pPr>
        <w:pStyle w:val="ListBullet"/>
        <w:ind w:left="720"/>
      </w:pPr>
      <w:r w:rsidRPr="0033149B">
        <w:t>physical or intellectual disability</w:t>
      </w:r>
    </w:p>
    <w:p w14:paraId="13CD79B8" w14:textId="1033CA47" w:rsidR="00D337A7" w:rsidRPr="0033149B" w:rsidRDefault="00D337A7" w:rsidP="0033149B">
      <w:pPr>
        <w:pStyle w:val="ListBullet"/>
        <w:ind w:left="720"/>
      </w:pPr>
      <w:r w:rsidRPr="0033149B">
        <w:t>family, domestic and sexual violence</w:t>
      </w:r>
    </w:p>
    <w:p w14:paraId="4CC34DD4" w14:textId="076A1E26" w:rsidR="00D337A7" w:rsidRPr="0033149B" w:rsidRDefault="00D337A7" w:rsidP="0033149B">
      <w:pPr>
        <w:pStyle w:val="ListBullet"/>
        <w:ind w:left="720"/>
      </w:pPr>
      <w:r w:rsidRPr="0033149B">
        <w:t>economic disadvantage and unstable income</w:t>
      </w:r>
    </w:p>
    <w:p w14:paraId="7B8D8A84" w14:textId="7E8C4114" w:rsidR="00D337A7" w:rsidRPr="0033149B" w:rsidRDefault="00D337A7" w:rsidP="0033149B">
      <w:pPr>
        <w:pStyle w:val="ListBullet"/>
        <w:ind w:left="720"/>
      </w:pPr>
      <w:r w:rsidRPr="0033149B">
        <w:t>housing instability or homelessness</w:t>
      </w:r>
    </w:p>
    <w:p w14:paraId="0007D541" w14:textId="75BF3051" w:rsidR="00D337A7" w:rsidRPr="0033149B" w:rsidRDefault="00D337A7" w:rsidP="0033149B">
      <w:pPr>
        <w:pStyle w:val="ListBullet"/>
        <w:ind w:left="720"/>
      </w:pPr>
      <w:r w:rsidRPr="0033149B">
        <w:t>limited access to education or employment</w:t>
      </w:r>
    </w:p>
    <w:p w14:paraId="478CD649" w14:textId="4F221BB1" w:rsidR="00D337A7" w:rsidRPr="0033149B" w:rsidRDefault="00D337A7" w:rsidP="0033149B">
      <w:pPr>
        <w:pStyle w:val="ListBullet"/>
        <w:ind w:left="720"/>
      </w:pPr>
      <w:r w:rsidRPr="0033149B">
        <w:t>involvement with the justice system</w:t>
      </w:r>
    </w:p>
    <w:p w14:paraId="010586CA" w14:textId="53A1DAA5" w:rsidR="00D337A7" w:rsidRPr="0033149B" w:rsidRDefault="00D337A7" w:rsidP="0033149B">
      <w:pPr>
        <w:pStyle w:val="ListBullet"/>
        <w:ind w:left="720"/>
      </w:pPr>
      <w:r w:rsidRPr="0033149B">
        <w:t>involvement with child protection services</w:t>
      </w:r>
    </w:p>
    <w:p w14:paraId="4C10B372" w14:textId="67E41692" w:rsidR="00D337A7" w:rsidRPr="0033149B" w:rsidRDefault="00D337A7" w:rsidP="0033149B">
      <w:pPr>
        <w:pStyle w:val="ListBullet"/>
        <w:ind w:left="720"/>
      </w:pPr>
      <w:r w:rsidRPr="0033149B">
        <w:t>cultural and linguistic diversity</w:t>
      </w:r>
    </w:p>
    <w:p w14:paraId="37C101DE" w14:textId="46CC7217" w:rsidR="00D337A7" w:rsidRPr="0033149B" w:rsidRDefault="00D337A7" w:rsidP="0033149B">
      <w:pPr>
        <w:pStyle w:val="ListBullet"/>
        <w:ind w:left="720"/>
      </w:pPr>
      <w:r w:rsidRPr="0033149B">
        <w:t>Aboriginal and/or Torres Strait Islander identity and community context</w:t>
      </w:r>
    </w:p>
    <w:p w14:paraId="027184B5" w14:textId="5ABEEB6D" w:rsidR="00D337A7" w:rsidRPr="0033149B" w:rsidRDefault="00D337A7" w:rsidP="0033149B">
      <w:pPr>
        <w:pStyle w:val="ListBullet"/>
        <w:ind w:left="720"/>
      </w:pPr>
      <w:r w:rsidRPr="0033149B">
        <w:t>stigma, discrimination and social exclusion</w:t>
      </w:r>
    </w:p>
    <w:p w14:paraId="2BC24C7F" w14:textId="77777777" w:rsidR="00660078" w:rsidRPr="00650CA9" w:rsidRDefault="00660078" w:rsidP="00660078">
      <w:pPr>
        <w:pStyle w:val="ListBullet"/>
      </w:pPr>
      <w:r w:rsidRPr="00650CA9">
        <w:t>cultural safety considerations</w:t>
      </w:r>
    </w:p>
    <w:p w14:paraId="57FD7E93" w14:textId="77777777" w:rsidR="00660078" w:rsidRPr="00650CA9" w:rsidRDefault="00660078" w:rsidP="00660078">
      <w:pPr>
        <w:pStyle w:val="ListBullet"/>
      </w:pPr>
      <w:r w:rsidRPr="00650CA9">
        <w:t>techniques for communication and motivational interviewing/counselling, including:</w:t>
      </w:r>
    </w:p>
    <w:p w14:paraId="32EDB075" w14:textId="77777777" w:rsidR="00660078" w:rsidRPr="00650CA9" w:rsidRDefault="00660078" w:rsidP="00660078">
      <w:pPr>
        <w:pStyle w:val="ListBullet2"/>
      </w:pPr>
      <w:r w:rsidRPr="00650CA9">
        <w:t>active listening</w:t>
      </w:r>
    </w:p>
    <w:p w14:paraId="63975749" w14:textId="31FBCA2D" w:rsidR="00660078" w:rsidRPr="00650CA9" w:rsidRDefault="00660078" w:rsidP="00660078">
      <w:pPr>
        <w:pStyle w:val="ListBullet2"/>
      </w:pPr>
      <w:r w:rsidRPr="00650CA9">
        <w:t xml:space="preserve">attending skills, use of body language, </w:t>
      </w:r>
      <w:r w:rsidR="00D337A7">
        <w:t xml:space="preserve">and </w:t>
      </w:r>
      <w:r w:rsidRPr="00650CA9">
        <w:t>non-verbal communication</w:t>
      </w:r>
    </w:p>
    <w:p w14:paraId="3FFC831B" w14:textId="77777777" w:rsidR="00660078" w:rsidRPr="00650CA9" w:rsidRDefault="00660078" w:rsidP="00660078">
      <w:pPr>
        <w:pStyle w:val="ListBullet2"/>
      </w:pPr>
      <w:r w:rsidRPr="00650CA9">
        <w:t>paraphrasing</w:t>
      </w:r>
    </w:p>
    <w:p w14:paraId="553E78C0" w14:textId="77777777" w:rsidR="00660078" w:rsidRPr="00650CA9" w:rsidRDefault="00660078" w:rsidP="00660078">
      <w:pPr>
        <w:pStyle w:val="ListBullet2"/>
      </w:pPr>
      <w:r w:rsidRPr="00650CA9">
        <w:t>reflecting feelings</w:t>
      </w:r>
    </w:p>
    <w:p w14:paraId="58AB44B3" w14:textId="6C8B98BB" w:rsidR="00660078" w:rsidRPr="00650CA9" w:rsidRDefault="00660078" w:rsidP="00660078">
      <w:pPr>
        <w:pStyle w:val="ListBullet2"/>
      </w:pPr>
      <w:r w:rsidRPr="00650CA9">
        <w:t xml:space="preserve">open and closed questioning </w:t>
      </w:r>
    </w:p>
    <w:p w14:paraId="3D7776E5" w14:textId="77777777" w:rsidR="00660078" w:rsidRPr="00650CA9" w:rsidRDefault="00660078" w:rsidP="00660078">
      <w:pPr>
        <w:pStyle w:val="ListBullet2"/>
      </w:pPr>
      <w:r w:rsidRPr="00650CA9">
        <w:t>summarising</w:t>
      </w:r>
    </w:p>
    <w:p w14:paraId="2B19104D" w14:textId="77777777" w:rsidR="00660078" w:rsidRPr="00650CA9" w:rsidRDefault="00660078" w:rsidP="00660078">
      <w:pPr>
        <w:pStyle w:val="ListBullet2"/>
      </w:pPr>
      <w:r w:rsidRPr="00650CA9">
        <w:t>reframing</w:t>
      </w:r>
    </w:p>
    <w:p w14:paraId="7B931D08" w14:textId="77777777" w:rsidR="00660078" w:rsidRPr="00650CA9" w:rsidRDefault="00660078" w:rsidP="00660078">
      <w:pPr>
        <w:pStyle w:val="ListBullet2"/>
      </w:pPr>
      <w:r w:rsidRPr="00650CA9">
        <w:t>exploring options</w:t>
      </w:r>
    </w:p>
    <w:p w14:paraId="55CDAB8C" w14:textId="77777777" w:rsidR="00660078" w:rsidRPr="00650CA9" w:rsidRDefault="00660078" w:rsidP="00660078">
      <w:pPr>
        <w:pStyle w:val="ListBullet2"/>
      </w:pPr>
      <w:r w:rsidRPr="00650CA9">
        <w:t>normalising statements</w:t>
      </w:r>
    </w:p>
    <w:p w14:paraId="4E3B0C6D" w14:textId="77777777" w:rsidR="00660078" w:rsidRPr="00650CA9" w:rsidRDefault="00660078" w:rsidP="00660078">
      <w:pPr>
        <w:pStyle w:val="ListBullet"/>
      </w:pPr>
      <w:r w:rsidRPr="00650CA9">
        <w:t>communication techniques required for dealing with complexity:</w:t>
      </w:r>
    </w:p>
    <w:p w14:paraId="4A588105" w14:textId="77777777" w:rsidR="00660078" w:rsidRPr="00650CA9" w:rsidRDefault="00660078" w:rsidP="00660078">
      <w:pPr>
        <w:pStyle w:val="ListBullet2"/>
      </w:pPr>
      <w:r w:rsidRPr="00650CA9">
        <w:t>conflict resolution</w:t>
      </w:r>
    </w:p>
    <w:p w14:paraId="405A8B56" w14:textId="77777777" w:rsidR="00660078" w:rsidRPr="00650CA9" w:rsidRDefault="00660078" w:rsidP="00660078">
      <w:pPr>
        <w:pStyle w:val="ListBullet2"/>
      </w:pPr>
      <w:r w:rsidRPr="00650CA9">
        <w:t>negotiation</w:t>
      </w:r>
    </w:p>
    <w:p w14:paraId="6CA03902" w14:textId="57445E77" w:rsidR="00660078" w:rsidRPr="00650CA9" w:rsidRDefault="00D337A7" w:rsidP="00660078">
      <w:pPr>
        <w:pStyle w:val="ListBullet"/>
      </w:pPr>
      <w:r>
        <w:t xml:space="preserve">evidence-based </w:t>
      </w:r>
      <w:r w:rsidR="00660078" w:rsidRPr="00650CA9">
        <w:t>approaches to practice, including:</w:t>
      </w:r>
    </w:p>
    <w:p w14:paraId="59B7E89A" w14:textId="77777777" w:rsidR="00660078" w:rsidRPr="00650CA9" w:rsidRDefault="00660078" w:rsidP="00660078">
      <w:pPr>
        <w:pStyle w:val="ListBullet2"/>
      </w:pPr>
      <w:r w:rsidRPr="00650CA9">
        <w:t>motivational interviewing</w:t>
      </w:r>
    </w:p>
    <w:p w14:paraId="7F6344EB" w14:textId="426F366B" w:rsidR="00660078" w:rsidRPr="00650CA9" w:rsidRDefault="00D337A7" w:rsidP="00660078">
      <w:pPr>
        <w:pStyle w:val="ListBullet2"/>
      </w:pPr>
      <w:r w:rsidRPr="00650CA9">
        <w:t>solution</w:t>
      </w:r>
      <w:r>
        <w:t>-</w:t>
      </w:r>
      <w:r w:rsidR="00660078" w:rsidRPr="00650CA9">
        <w:t>focused approaches</w:t>
      </w:r>
    </w:p>
    <w:p w14:paraId="1E57D792" w14:textId="3F8783B5" w:rsidR="00660078" w:rsidRPr="00650CA9" w:rsidRDefault="00D337A7" w:rsidP="00660078">
      <w:pPr>
        <w:pStyle w:val="ListBullet2"/>
      </w:pPr>
      <w:r w:rsidRPr="00650CA9">
        <w:t>strength</w:t>
      </w:r>
      <w:r>
        <w:t>-</w:t>
      </w:r>
      <w:r w:rsidR="00660078" w:rsidRPr="00650CA9">
        <w:t>based approaches</w:t>
      </w:r>
    </w:p>
    <w:p w14:paraId="2AF5BA9B" w14:textId="77777777" w:rsidR="00660078" w:rsidRPr="00650CA9" w:rsidRDefault="00660078" w:rsidP="00660078">
      <w:pPr>
        <w:pStyle w:val="ListBullet2"/>
      </w:pPr>
      <w:r w:rsidRPr="00650CA9">
        <w:t>cognitive behavioural approaches</w:t>
      </w:r>
    </w:p>
    <w:p w14:paraId="3004997C" w14:textId="77777777" w:rsidR="00660078" w:rsidRPr="00650CA9" w:rsidRDefault="00660078" w:rsidP="00660078">
      <w:pPr>
        <w:pStyle w:val="ListBullet2"/>
      </w:pPr>
      <w:r w:rsidRPr="00650CA9">
        <w:t>narrative approaches</w:t>
      </w:r>
    </w:p>
    <w:p w14:paraId="3B810755" w14:textId="77777777" w:rsidR="00660078" w:rsidRPr="00650CA9" w:rsidRDefault="00660078" w:rsidP="00660078">
      <w:pPr>
        <w:pStyle w:val="ListBullet2"/>
      </w:pPr>
      <w:r w:rsidRPr="00650CA9">
        <w:t>acceptance and commitment therapy (ACT)</w:t>
      </w:r>
    </w:p>
    <w:p w14:paraId="60032730" w14:textId="281FED62" w:rsidR="00660078" w:rsidRPr="00650CA9" w:rsidRDefault="00660078" w:rsidP="00660078">
      <w:pPr>
        <w:pStyle w:val="ListBullet2"/>
      </w:pPr>
      <w:r w:rsidRPr="00650CA9">
        <w:t>dialect</w:t>
      </w:r>
      <w:r w:rsidR="00D337A7">
        <w:t>ic</w:t>
      </w:r>
      <w:r w:rsidRPr="00650CA9">
        <w:t>al behavioural therapy</w:t>
      </w:r>
    </w:p>
    <w:p w14:paraId="74033812" w14:textId="124F7745" w:rsidR="00660078" w:rsidRPr="00650CA9" w:rsidRDefault="00660078" w:rsidP="00660078">
      <w:pPr>
        <w:pStyle w:val="ListBullet"/>
      </w:pPr>
      <w:r w:rsidRPr="00650CA9">
        <w:t xml:space="preserve">reflective practice and its role in </w:t>
      </w:r>
      <w:r w:rsidR="00D337A7">
        <w:t>supporting</w:t>
      </w:r>
      <w:r w:rsidRPr="00650CA9">
        <w:t xml:space="preserve"> learning, growth and </w:t>
      </w:r>
      <w:r w:rsidR="00D337A7">
        <w:t>quality service delivery</w:t>
      </w:r>
    </w:p>
    <w:p w14:paraId="3A8B105D" w14:textId="77777777" w:rsidR="00660078" w:rsidRPr="00650CA9" w:rsidRDefault="00660078" w:rsidP="00660078">
      <w:pPr>
        <w:pStyle w:val="AllowPageBreak"/>
      </w:pPr>
    </w:p>
    <w:p w14:paraId="03FF8300" w14:textId="77777777" w:rsidR="00660078" w:rsidRPr="00650CA9" w:rsidRDefault="00660078" w:rsidP="00660078">
      <w:pPr>
        <w:pStyle w:val="Heading1"/>
      </w:pPr>
      <w:bookmarkStart w:id="9" w:name="O_654310"/>
      <w:bookmarkEnd w:id="9"/>
      <w:r w:rsidRPr="00650CA9">
        <w:t>Assessment Conditions</w:t>
      </w:r>
    </w:p>
    <w:p w14:paraId="7C5147DA" w14:textId="0D9F440C" w:rsidR="00660078" w:rsidRPr="00650CA9" w:rsidRDefault="00660078" w:rsidP="00660078">
      <w:pPr>
        <w:pStyle w:val="BodyText"/>
      </w:pPr>
      <w:r w:rsidRPr="00650CA9">
        <w:t>Skills must have been demonstrated in the workplace with the addition of simulations and scenarios where the full range of contexts and situations have not been provided in the workplace. Where simulation is used, it must reflect real working conditions by modelling industry operating conditions and contingencies, as well as using suitable facilities, equipment and resources.</w:t>
      </w:r>
    </w:p>
    <w:p w14:paraId="55099E90" w14:textId="77777777" w:rsidR="00660078" w:rsidRPr="00650CA9" w:rsidRDefault="00660078" w:rsidP="00660078">
      <w:pPr>
        <w:pStyle w:val="Heading1"/>
      </w:pPr>
      <w:bookmarkStart w:id="10" w:name="O_654313"/>
      <w:bookmarkEnd w:id="10"/>
      <w:r w:rsidRPr="00650CA9">
        <w:t>Links</w:t>
      </w:r>
    </w:p>
    <w:p w14:paraId="6D14E8C1" w14:textId="4EA62ECC" w:rsidR="00660078" w:rsidRPr="00650CA9" w:rsidRDefault="00660078" w:rsidP="00660078">
      <w:pPr>
        <w:pStyle w:val="BodyText"/>
      </w:pPr>
      <w:r w:rsidRPr="00650CA9">
        <w:t xml:space="preserve">Companion Volume implementation guides are found in VETNet - </w:t>
      </w:r>
    </w:p>
    <w:p w14:paraId="56322A46" w14:textId="77777777" w:rsidR="00660078" w:rsidRPr="00650CA9" w:rsidRDefault="00660078" w:rsidP="00660078"/>
    <w:p w14:paraId="6A36A4EC" w14:textId="5D8CAA80" w:rsidR="00111E70" w:rsidRPr="004A2F42" w:rsidRDefault="00111E70" w:rsidP="004A2F42"/>
    <w:sectPr w:rsidR="00111E70" w:rsidRPr="004A2F42" w:rsidSect="004A2F42">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A4EF" w14:textId="77777777" w:rsidR="004A2F42" w:rsidRDefault="004A2F42" w:rsidP="004A2F42">
      <w:r>
        <w:separator/>
      </w:r>
    </w:p>
  </w:endnote>
  <w:endnote w:type="continuationSeparator" w:id="0">
    <w:p w14:paraId="6A36A4F0" w14:textId="77777777" w:rsidR="004A2F42" w:rsidRDefault="004A2F42" w:rsidP="004A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2AAA" w14:textId="77777777" w:rsidR="00982D4C" w:rsidRDefault="00982D4C">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4FA" w14:textId="0EDEA927" w:rsidR="007A7EA5" w:rsidRDefault="00660078" w:rsidP="004A2F42">
    <w:pPr>
      <w:pStyle w:val="Footer"/>
      <w:framePr w:wrap="around"/>
    </w:pPr>
    <w:r>
      <w:t>Draft</w:t>
    </w:r>
    <w:r w:rsidR="007A7EA5">
      <w:tab/>
      <w:t xml:space="preserve">Page </w:t>
    </w:r>
    <w:r w:rsidR="007A7EA5">
      <w:fldChar w:fldCharType="begin"/>
    </w:r>
    <w:r w:rsidR="007A7EA5">
      <w:instrText xml:space="preserve"> PAGE  \* Arabic  \* MERGEFORMAT </w:instrText>
    </w:r>
    <w:r w:rsidR="007A7EA5">
      <w:fldChar w:fldCharType="separate"/>
    </w:r>
    <w:r w:rsidR="007A7EA5">
      <w:rPr>
        <w:noProof/>
      </w:rPr>
      <w:t>2</w:t>
    </w:r>
    <w:r w:rsidR="007A7EA5">
      <w:fldChar w:fldCharType="end"/>
    </w:r>
    <w:r w:rsidR="007A7EA5">
      <w:t xml:space="preserve"> of </w:t>
    </w:r>
    <w:r w:rsidR="007A7EA5">
      <w:rPr>
        <w:noProof/>
      </w:rPr>
      <w:fldChar w:fldCharType="begin"/>
    </w:r>
    <w:r w:rsidR="007A7EA5">
      <w:rPr>
        <w:noProof/>
      </w:rPr>
      <w:instrText xml:space="preserve"> NUMPAGES  \* Arabic  \* MERGEFORMAT </w:instrText>
    </w:r>
    <w:r w:rsidR="007A7EA5">
      <w:rPr>
        <w:noProof/>
      </w:rPr>
      <w:fldChar w:fldCharType="separate"/>
    </w:r>
    <w:r w:rsidR="007A7EA5">
      <w:rPr>
        <w:noProof/>
      </w:rPr>
      <w:t>4</w:t>
    </w:r>
    <w:r w:rsidR="007A7EA5">
      <w:rPr>
        <w:noProof/>
      </w:rPr>
      <w:fldChar w:fldCharType="end"/>
    </w:r>
  </w:p>
  <w:p w14:paraId="6A36A4FB" w14:textId="40FCEA13" w:rsidR="007A7EA5" w:rsidRDefault="007A7EA5" w:rsidP="004A2F42">
    <w:pPr>
      <w:pStyle w:val="Footer"/>
      <w:framePr w:wrap="around"/>
    </w:pPr>
    <w:r>
      <w:t xml:space="preserve">© Commonwealth of Australia, </w:t>
    </w:r>
    <w:r>
      <w:fldChar w:fldCharType="begin"/>
    </w:r>
    <w:r>
      <w:instrText xml:space="preserve"> DATE  \@ "yyyy"  \* MERGEFORMAT </w:instrText>
    </w:r>
    <w:r>
      <w:fldChar w:fldCharType="separate"/>
    </w:r>
    <w:r w:rsidR="0033149B">
      <w:rPr>
        <w:noProof/>
      </w:rPr>
      <w:t>2025</w:t>
    </w:r>
    <w:r>
      <w:fldChar w:fldCharType="end"/>
    </w:r>
    <w:r>
      <w:tab/>
    </w:r>
    <w:r w:rsidR="00660078">
      <w:t>HumanAbility</w:t>
    </w:r>
  </w:p>
  <w:p w14:paraId="6A36A4FC" w14:textId="77777777" w:rsidR="007A7EA5" w:rsidRDefault="007A7EA5" w:rsidP="004A2F42">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0B1C" w14:textId="77777777" w:rsidR="00982D4C" w:rsidRDefault="00982D4C">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A4ED" w14:textId="77777777" w:rsidR="004A2F42" w:rsidRDefault="004A2F42" w:rsidP="004A2F42">
      <w:r>
        <w:separator/>
      </w:r>
    </w:p>
  </w:footnote>
  <w:footnote w:type="continuationSeparator" w:id="0">
    <w:p w14:paraId="6A36A4EE" w14:textId="77777777" w:rsidR="004A2F42" w:rsidRDefault="004A2F42" w:rsidP="004A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36A" w14:textId="73A59A21" w:rsidR="00982D4C" w:rsidRDefault="0033149B">
    <w:pPr>
      <w:pStyle w:val="Header"/>
      <w:framePr w:wrap="around"/>
    </w:pPr>
    <w:r>
      <w:rPr>
        <w:noProof/>
      </w:rPr>
    </w:r>
    <w:r w:rsidR="0033149B">
      <w:rPr>
        <w:noProof/>
      </w:rPr>
      <w:pict w14:anchorId="3316D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74378"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4F8" w14:textId="041F22FB" w:rsidR="007A7EA5" w:rsidRPr="002D2AF8" w:rsidRDefault="0033149B" w:rsidP="004A2F42">
    <w:pPr>
      <w:pStyle w:val="Header"/>
      <w:framePr w:wrap="around"/>
    </w:pPr>
    <w:r>
      <w:rPr>
        <w:noProof/>
      </w:rPr>
    </w:r>
    <w:r w:rsidR="0033149B">
      <w:rPr>
        <w:noProof/>
      </w:rPr>
      <w:pict w14:anchorId="1F8E8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74379"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8D5A3C">
        <w:t xml:space="preserve">CHCMHS010 Implement recovery oriented approaches to complexity </w:t>
      </w:r>
    </w:fldSimple>
    <w:r w:rsidR="007A7EA5">
      <w:tab/>
      <w:t xml:space="preserve">Date this document was generated: </w:t>
    </w:r>
    <w:r w:rsidR="007A7EA5">
      <w:fldChar w:fldCharType="begin"/>
    </w:r>
    <w:r w:rsidR="007A7EA5">
      <w:instrText xml:space="preserve"> CREATEDATE  \@ "d MMMM yyyy"  \* MERGEFORMAT </w:instrText>
    </w:r>
    <w:r w:rsidR="007A7EA5">
      <w:fldChar w:fldCharType="separate"/>
    </w:r>
    <w:r w:rsidR="008D5A3C">
      <w:rPr>
        <w:noProof/>
      </w:rPr>
      <w:t>3 April 2025</w:t>
    </w:r>
    <w:r w:rsidR="007A7EA5">
      <w:fldChar w:fldCharType="end"/>
    </w:r>
  </w:p>
  <w:p w14:paraId="6A36A4F9" w14:textId="77777777" w:rsidR="007A7EA5" w:rsidRDefault="007A7EA5" w:rsidP="004A2F42">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8D51" w14:textId="5366C34D" w:rsidR="00982D4C" w:rsidRDefault="0033149B">
    <w:pPr>
      <w:pStyle w:val="Header"/>
      <w:framePr w:wrap="around"/>
    </w:pPr>
    <w:r>
      <w:rPr>
        <w:noProof/>
      </w:rPr>
    </w:r>
    <w:r w:rsidR="0033149B">
      <w:rPr>
        <w:noProof/>
      </w:rPr>
      <w:pict w14:anchorId="285F5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74377"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786070704">
    <w:abstractNumId w:val="4"/>
  </w:num>
  <w:num w:numId="2" w16cid:durableId="9380154">
    <w:abstractNumId w:val="3"/>
  </w:num>
  <w:num w:numId="3" w16cid:durableId="1767069938">
    <w:abstractNumId w:val="2"/>
  </w:num>
  <w:num w:numId="4" w16cid:durableId="955478091">
    <w:abstractNumId w:val="1"/>
  </w:num>
  <w:num w:numId="5" w16cid:durableId="661276823">
    <w:abstractNumId w:val="0"/>
  </w:num>
  <w:num w:numId="6" w16cid:durableId="908073441">
    <w:abstractNumId w:val="11"/>
  </w:num>
  <w:num w:numId="7" w16cid:durableId="120541417">
    <w:abstractNumId w:val="8"/>
  </w:num>
  <w:num w:numId="8" w16cid:durableId="679281267">
    <w:abstractNumId w:val="12"/>
  </w:num>
  <w:num w:numId="9" w16cid:durableId="1926651220">
    <w:abstractNumId w:val="6"/>
  </w:num>
  <w:num w:numId="10" w16cid:durableId="1016232364">
    <w:abstractNumId w:val="9"/>
  </w:num>
  <w:num w:numId="11" w16cid:durableId="1643533649">
    <w:abstractNumId w:val="7"/>
  </w:num>
  <w:num w:numId="12" w16cid:durableId="78644540">
    <w:abstractNumId w:val="5"/>
  </w:num>
  <w:num w:numId="13" w16cid:durableId="1296981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42"/>
    <w:rsid w:val="00111E70"/>
    <w:rsid w:val="0033149B"/>
    <w:rsid w:val="00352651"/>
    <w:rsid w:val="0040562B"/>
    <w:rsid w:val="00455230"/>
    <w:rsid w:val="004A2F42"/>
    <w:rsid w:val="005228AC"/>
    <w:rsid w:val="00582322"/>
    <w:rsid w:val="006072AC"/>
    <w:rsid w:val="00660078"/>
    <w:rsid w:val="007625EE"/>
    <w:rsid w:val="00784E90"/>
    <w:rsid w:val="007930DB"/>
    <w:rsid w:val="007A7EA5"/>
    <w:rsid w:val="007B1BC0"/>
    <w:rsid w:val="0087466D"/>
    <w:rsid w:val="00877662"/>
    <w:rsid w:val="008D5A3C"/>
    <w:rsid w:val="009566E1"/>
    <w:rsid w:val="00982D4C"/>
    <w:rsid w:val="00995750"/>
    <w:rsid w:val="009C2A8E"/>
    <w:rsid w:val="00B436BD"/>
    <w:rsid w:val="00D22D7D"/>
    <w:rsid w:val="00D337A7"/>
    <w:rsid w:val="00ED2296"/>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6A36A480"/>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42"/>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4A2F42"/>
    <w:pPr>
      <w:spacing w:before="360" w:after="60"/>
      <w:outlineLvl w:val="0"/>
    </w:pPr>
    <w:rPr>
      <w:sz w:val="32"/>
    </w:rPr>
  </w:style>
  <w:style w:type="paragraph" w:styleId="Heading2">
    <w:name w:val="heading 2"/>
    <w:basedOn w:val="HeadingBase"/>
    <w:next w:val="BodyText"/>
    <w:link w:val="Heading2Char"/>
    <w:qFormat/>
    <w:rsid w:val="004A2F42"/>
    <w:pPr>
      <w:keepLines/>
      <w:spacing w:before="240" w:after="120"/>
      <w:outlineLvl w:val="1"/>
    </w:pPr>
    <w:rPr>
      <w:sz w:val="28"/>
      <w:szCs w:val="40"/>
    </w:rPr>
  </w:style>
  <w:style w:type="paragraph" w:styleId="Heading3">
    <w:name w:val="heading 3"/>
    <w:basedOn w:val="HeadingBase"/>
    <w:next w:val="BodyText"/>
    <w:link w:val="Heading3Char"/>
    <w:qFormat/>
    <w:rsid w:val="004A2F42"/>
    <w:pPr>
      <w:spacing w:before="180" w:after="120"/>
      <w:outlineLvl w:val="2"/>
    </w:pPr>
    <w:rPr>
      <w:spacing w:val="-10"/>
      <w:kern w:val="32"/>
    </w:rPr>
  </w:style>
  <w:style w:type="paragraph" w:styleId="Heading4">
    <w:name w:val="heading 4"/>
    <w:basedOn w:val="HeadingBase"/>
    <w:next w:val="BodyText"/>
    <w:link w:val="Heading4Char"/>
    <w:qFormat/>
    <w:rsid w:val="004A2F42"/>
    <w:pPr>
      <w:spacing w:before="160" w:after="120"/>
      <w:outlineLvl w:val="3"/>
    </w:pPr>
    <w:rPr>
      <w:sz w:val="22"/>
    </w:rPr>
  </w:style>
  <w:style w:type="paragraph" w:styleId="Heading5">
    <w:name w:val="heading 5"/>
    <w:basedOn w:val="HeadingBase"/>
    <w:next w:val="Normal"/>
    <w:link w:val="Heading5Char"/>
    <w:qFormat/>
    <w:rsid w:val="004A2F42"/>
    <w:pPr>
      <w:spacing w:before="80"/>
      <w:outlineLvl w:val="4"/>
    </w:pPr>
    <w:rPr>
      <w:color w:val="918585"/>
      <w:sz w:val="20"/>
    </w:rPr>
  </w:style>
  <w:style w:type="paragraph" w:styleId="Heading6">
    <w:name w:val="heading 6"/>
    <w:basedOn w:val="HeadingBase"/>
    <w:next w:val="Normal"/>
    <w:link w:val="Heading6Char"/>
    <w:qFormat/>
    <w:rsid w:val="004A2F42"/>
    <w:pPr>
      <w:spacing w:before="60"/>
      <w:outlineLvl w:val="5"/>
    </w:pPr>
    <w:rPr>
      <w:color w:val="918585"/>
      <w:sz w:val="20"/>
    </w:rPr>
  </w:style>
  <w:style w:type="paragraph" w:styleId="Heading7">
    <w:name w:val="heading 7"/>
    <w:basedOn w:val="Normal"/>
    <w:next w:val="Normal"/>
    <w:link w:val="Heading7Char"/>
    <w:qFormat/>
    <w:rsid w:val="004A2F42"/>
    <w:pPr>
      <w:ind w:left="720"/>
      <w:outlineLvl w:val="6"/>
    </w:pPr>
    <w:rPr>
      <w:i/>
    </w:rPr>
  </w:style>
  <w:style w:type="paragraph" w:styleId="Heading8">
    <w:name w:val="heading 8"/>
    <w:basedOn w:val="Normal"/>
    <w:next w:val="Normal"/>
    <w:link w:val="Heading8Char"/>
    <w:qFormat/>
    <w:rsid w:val="004A2F42"/>
    <w:pPr>
      <w:ind w:left="720"/>
      <w:outlineLvl w:val="7"/>
    </w:pPr>
    <w:rPr>
      <w:i/>
    </w:rPr>
  </w:style>
  <w:style w:type="paragraph" w:styleId="Heading9">
    <w:name w:val="heading 9"/>
    <w:basedOn w:val="Normal"/>
    <w:next w:val="Normal"/>
    <w:link w:val="Heading9Char"/>
    <w:qFormat/>
    <w:rsid w:val="004A2F4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F42"/>
    <w:rPr>
      <w:rFonts w:ascii="Times New Roman" w:eastAsia="Times New Roman" w:hAnsi="Times New Roman" w:cs="Times New Roman"/>
      <w:b/>
      <w:sz w:val="32"/>
      <w:szCs w:val="20"/>
      <w:lang w:eastAsia="en-US"/>
    </w:rPr>
  </w:style>
  <w:style w:type="paragraph" w:styleId="BodyText">
    <w:name w:val="Body Text"/>
    <w:basedOn w:val="Normal"/>
    <w:link w:val="BodyTextChar"/>
    <w:rsid w:val="004A2F42"/>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4A2F42"/>
    <w:rPr>
      <w:rFonts w:ascii="Times New Roman" w:eastAsia="Times New Roman" w:hAnsi="Times New Roman" w:cs="Times New Roman"/>
      <w:sz w:val="24"/>
      <w:lang w:eastAsia="en-US"/>
    </w:rPr>
  </w:style>
  <w:style w:type="paragraph" w:styleId="List">
    <w:name w:val="List"/>
    <w:basedOn w:val="BodyText"/>
    <w:next w:val="BodyText"/>
    <w:rsid w:val="004A2F42"/>
    <w:pPr>
      <w:tabs>
        <w:tab w:val="left" w:pos="340"/>
      </w:tabs>
      <w:spacing w:before="60" w:after="60"/>
      <w:ind w:left="340" w:hanging="340"/>
    </w:pPr>
  </w:style>
  <w:style w:type="character" w:customStyle="1" w:styleId="SpecialBold">
    <w:name w:val="Special Bold"/>
    <w:basedOn w:val="DefaultParagraphFont"/>
    <w:rsid w:val="004A2F42"/>
    <w:rPr>
      <w:b/>
      <w:spacing w:val="0"/>
    </w:rPr>
  </w:style>
  <w:style w:type="character" w:styleId="Emphasis">
    <w:name w:val="Emphasis"/>
    <w:basedOn w:val="DefaultParagraphFont"/>
    <w:qFormat/>
    <w:rsid w:val="004A2F42"/>
    <w:rPr>
      <w:i/>
    </w:rPr>
  </w:style>
  <w:style w:type="paragraph" w:customStyle="1" w:styleId="SuperHeading">
    <w:name w:val="SuperHeading"/>
    <w:basedOn w:val="Normal"/>
    <w:rsid w:val="004A2F42"/>
    <w:pPr>
      <w:spacing w:before="240" w:after="120"/>
      <w:outlineLvl w:val="0"/>
    </w:pPr>
    <w:rPr>
      <w:rFonts w:ascii="Times New Roman" w:hAnsi="Times New Roman"/>
      <w:b/>
      <w:sz w:val="32"/>
    </w:rPr>
  </w:style>
  <w:style w:type="paragraph" w:customStyle="1" w:styleId="AllowPageBreak">
    <w:name w:val="AllowPageBreak"/>
    <w:rsid w:val="004A2F42"/>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4A2F42"/>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4A2F42"/>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4A2F42"/>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4A2F42"/>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4A2F42"/>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4A2F42"/>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4A2F42"/>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4A2F42"/>
    <w:rPr>
      <w:rFonts w:ascii="Courier New" w:eastAsia="Times New Roman" w:hAnsi="Courier New" w:cs="Times New Roman"/>
      <w:i/>
      <w:szCs w:val="20"/>
      <w:lang w:eastAsia="en-US"/>
    </w:rPr>
  </w:style>
  <w:style w:type="paragraph" w:customStyle="1" w:styleId="HeadingBase">
    <w:name w:val="Heading Base"/>
    <w:rsid w:val="004A2F42"/>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4A2F42"/>
    <w:pPr>
      <w:tabs>
        <w:tab w:val="right" w:leader="dot" w:pos="9072"/>
      </w:tabs>
      <w:ind w:left="567"/>
    </w:pPr>
    <w:rPr>
      <w:szCs w:val="22"/>
    </w:rPr>
  </w:style>
  <w:style w:type="paragraph" w:customStyle="1" w:styleId="TOCBase">
    <w:name w:val="TOC Base"/>
    <w:rsid w:val="004A2F42"/>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4A2F42"/>
    <w:pPr>
      <w:tabs>
        <w:tab w:val="right" w:leader="dot" w:pos="9072"/>
      </w:tabs>
      <w:spacing w:before="40" w:after="40"/>
      <w:ind w:left="284"/>
    </w:pPr>
    <w:rPr>
      <w:rFonts w:ascii="Times New Roman" w:hAnsi="Times New Roman"/>
    </w:rPr>
  </w:style>
  <w:style w:type="paragraph" w:styleId="TOC1">
    <w:name w:val="toc 1"/>
    <w:basedOn w:val="TOCBase"/>
    <w:next w:val="Normal"/>
    <w:rsid w:val="004A2F42"/>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4A2F42"/>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4A2F42"/>
    <w:rPr>
      <w:rFonts w:ascii="Times New Roman" w:eastAsia="Times New Roman" w:hAnsi="Times New Roman" w:cs="Times New Roman"/>
      <w:sz w:val="16"/>
      <w:lang w:eastAsia="en-US"/>
    </w:rPr>
  </w:style>
  <w:style w:type="paragraph" w:styleId="Title">
    <w:name w:val="Title"/>
    <w:basedOn w:val="HeadingBase"/>
    <w:link w:val="TitleChar"/>
    <w:qFormat/>
    <w:rsid w:val="004A2F42"/>
    <w:pPr>
      <w:spacing w:before="5040"/>
      <w:jc w:val="center"/>
    </w:pPr>
    <w:rPr>
      <w:sz w:val="48"/>
      <w:szCs w:val="72"/>
      <w:lang w:val="en-US"/>
    </w:rPr>
  </w:style>
  <w:style w:type="character" w:customStyle="1" w:styleId="TitleChar">
    <w:name w:val="Title Char"/>
    <w:basedOn w:val="DefaultParagraphFont"/>
    <w:link w:val="Title"/>
    <w:rsid w:val="004A2F42"/>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4A2F42"/>
    <w:pPr>
      <w:tabs>
        <w:tab w:val="left" w:pos="3600"/>
        <w:tab w:val="left" w:pos="3958"/>
      </w:tabs>
    </w:pPr>
  </w:style>
  <w:style w:type="paragraph" w:styleId="ListBullet">
    <w:name w:val="List Bullet"/>
    <w:basedOn w:val="List"/>
    <w:rsid w:val="004A2F42"/>
    <w:pPr>
      <w:numPr>
        <w:numId w:val="10"/>
      </w:numPr>
      <w:tabs>
        <w:tab w:val="clear" w:pos="340"/>
      </w:tabs>
      <w:spacing w:before="40" w:after="40"/>
    </w:pPr>
  </w:style>
  <w:style w:type="paragraph" w:customStyle="1" w:styleId="Note">
    <w:name w:val="Note"/>
    <w:basedOn w:val="BodyText"/>
    <w:rsid w:val="004A2F42"/>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4A2F42"/>
    <w:pPr>
      <w:framePr w:wrap="auto" w:hAnchor="text" w:y="6049"/>
    </w:pPr>
    <w:rPr>
      <w:color w:val="000000"/>
      <w:sz w:val="40"/>
    </w:rPr>
  </w:style>
  <w:style w:type="paragraph" w:customStyle="1" w:styleId="TOCTitle">
    <w:name w:val="TOCTitle"/>
    <w:basedOn w:val="Heading1"/>
    <w:rsid w:val="004A2F42"/>
    <w:pPr>
      <w:spacing w:after="240"/>
      <w:jc w:val="center"/>
      <w:outlineLvl w:val="9"/>
    </w:pPr>
    <w:rPr>
      <w:caps/>
    </w:rPr>
  </w:style>
  <w:style w:type="paragraph" w:customStyle="1" w:styleId="Version">
    <w:name w:val="Version"/>
    <w:rsid w:val="004A2F42"/>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4A2F42"/>
    <w:pPr>
      <w:numPr>
        <w:numId w:val="11"/>
      </w:numPr>
      <w:tabs>
        <w:tab w:val="clear" w:pos="680"/>
      </w:tabs>
    </w:pPr>
  </w:style>
  <w:style w:type="paragraph" w:styleId="Index1">
    <w:name w:val="index 1"/>
    <w:basedOn w:val="Normal"/>
    <w:next w:val="Normal"/>
    <w:semiHidden/>
    <w:rsid w:val="004A2F42"/>
    <w:pPr>
      <w:keepNext w:val="0"/>
      <w:tabs>
        <w:tab w:val="right" w:pos="4176"/>
      </w:tabs>
      <w:ind w:left="198" w:hanging="198"/>
    </w:pPr>
    <w:rPr>
      <w:rFonts w:ascii="Garamond" w:hAnsi="Garamond"/>
    </w:rPr>
  </w:style>
  <w:style w:type="paragraph" w:styleId="IndexHeading">
    <w:name w:val="index heading"/>
    <w:basedOn w:val="Normal"/>
    <w:next w:val="Index1"/>
    <w:semiHidden/>
    <w:rsid w:val="004A2F42"/>
    <w:pPr>
      <w:spacing w:before="120" w:after="120"/>
    </w:pPr>
    <w:rPr>
      <w:rFonts w:ascii="Arial" w:hAnsi="Arial"/>
      <w:b/>
      <w:color w:val="918585"/>
      <w:sz w:val="24"/>
    </w:rPr>
  </w:style>
  <w:style w:type="paragraph" w:styleId="Header">
    <w:name w:val="header"/>
    <w:basedOn w:val="Normal"/>
    <w:link w:val="HeaderChar"/>
    <w:rsid w:val="004A2F42"/>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4A2F42"/>
    <w:rPr>
      <w:rFonts w:ascii="Times New Roman" w:eastAsia="Times New Roman" w:hAnsi="Times New Roman" w:cs="Times New Roman"/>
      <w:sz w:val="16"/>
      <w:szCs w:val="20"/>
      <w:lang w:val="en-GB" w:eastAsia="en-US"/>
    </w:rPr>
  </w:style>
  <w:style w:type="paragraph" w:customStyle="1" w:styleId="Chapter">
    <w:name w:val="Chapter"/>
    <w:basedOn w:val="Normal"/>
    <w:rsid w:val="004A2F42"/>
    <w:pPr>
      <w:spacing w:before="240"/>
    </w:pPr>
    <w:rPr>
      <w:rFonts w:ascii="Times New Roman" w:hAnsi="Times New Roman"/>
      <w:smallCaps/>
      <w:spacing w:val="80"/>
      <w:sz w:val="28"/>
    </w:rPr>
  </w:style>
  <w:style w:type="paragraph" w:customStyle="1" w:styleId="InChapter">
    <w:name w:val="InChapter"/>
    <w:basedOn w:val="Heading3"/>
    <w:rsid w:val="004A2F42"/>
    <w:pPr>
      <w:spacing w:after="240"/>
      <w:outlineLvl w:val="9"/>
    </w:pPr>
    <w:rPr>
      <w:noProof/>
    </w:rPr>
  </w:style>
  <w:style w:type="paragraph" w:styleId="Index2">
    <w:name w:val="index 2"/>
    <w:basedOn w:val="Normal"/>
    <w:next w:val="Normal"/>
    <w:semiHidden/>
    <w:rsid w:val="004A2F42"/>
    <w:pPr>
      <w:tabs>
        <w:tab w:val="right" w:pos="4176"/>
      </w:tabs>
      <w:ind w:left="568" w:hanging="284"/>
    </w:pPr>
    <w:rPr>
      <w:rFonts w:ascii="Garamond" w:hAnsi="Garamond"/>
    </w:rPr>
  </w:style>
  <w:style w:type="paragraph" w:customStyle="1" w:styleId="Byline">
    <w:name w:val="Byline"/>
    <w:rsid w:val="004A2F42"/>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4A2F42"/>
    <w:pPr>
      <w:tabs>
        <w:tab w:val="clear" w:pos="3600"/>
        <w:tab w:val="clear" w:pos="3958"/>
      </w:tabs>
      <w:jc w:val="right"/>
    </w:pPr>
  </w:style>
  <w:style w:type="paragraph" w:styleId="Caption">
    <w:name w:val="caption"/>
    <w:basedOn w:val="BodyText"/>
    <w:next w:val="Normal"/>
    <w:qFormat/>
    <w:rsid w:val="004A2F42"/>
    <w:pPr>
      <w:framePr w:w="2268" w:hSpace="181" w:vSpace="181" w:wrap="around" w:vAnchor="text" w:hAnchor="page" w:x="1135" w:y="285" w:anchorLock="1"/>
    </w:pPr>
    <w:rPr>
      <w:i/>
    </w:rPr>
  </w:style>
  <w:style w:type="paragraph" w:customStyle="1" w:styleId="MiniTOCTitle">
    <w:name w:val="MiniTOCTitle"/>
    <w:basedOn w:val="Heading4"/>
    <w:rsid w:val="004A2F42"/>
    <w:pPr>
      <w:spacing w:before="240"/>
      <w:outlineLvl w:val="9"/>
    </w:pPr>
    <w:rPr>
      <w:noProof/>
      <w:sz w:val="24"/>
    </w:rPr>
  </w:style>
  <w:style w:type="paragraph" w:customStyle="1" w:styleId="MiniTOCItem">
    <w:name w:val="MiniTOCItem"/>
    <w:basedOn w:val="ListBullet"/>
    <w:rsid w:val="004A2F42"/>
    <w:pPr>
      <w:numPr>
        <w:numId w:val="0"/>
      </w:numPr>
      <w:tabs>
        <w:tab w:val="right" w:leader="dot" w:pos="6521"/>
      </w:tabs>
      <w:spacing w:before="0" w:after="0"/>
    </w:pPr>
  </w:style>
  <w:style w:type="paragraph" w:customStyle="1" w:styleId="TOFTitle">
    <w:name w:val="TOFTitle"/>
    <w:basedOn w:val="TOCTitle"/>
    <w:rsid w:val="004A2F42"/>
  </w:style>
  <w:style w:type="paragraph" w:styleId="TableofFigures">
    <w:name w:val="table of figures"/>
    <w:basedOn w:val="Normal"/>
    <w:next w:val="Normal"/>
    <w:semiHidden/>
    <w:rsid w:val="004A2F42"/>
    <w:pPr>
      <w:tabs>
        <w:tab w:val="right" w:leader="dot" w:pos="9072"/>
      </w:tabs>
      <w:ind w:left="970" w:hanging="403"/>
    </w:pPr>
    <w:rPr>
      <w:rFonts w:ascii="Times New Roman" w:hAnsi="Times New Roman"/>
      <w:b/>
    </w:rPr>
  </w:style>
  <w:style w:type="paragraph" w:styleId="ListNumber">
    <w:name w:val="List Number"/>
    <w:basedOn w:val="List"/>
    <w:rsid w:val="004A2F42"/>
    <w:pPr>
      <w:numPr>
        <w:numId w:val="13"/>
      </w:numPr>
      <w:tabs>
        <w:tab w:val="clear" w:pos="340"/>
      </w:tabs>
    </w:pPr>
  </w:style>
  <w:style w:type="character" w:customStyle="1" w:styleId="WingdingSymbols">
    <w:name w:val="Wingding Symbols"/>
    <w:rsid w:val="004A2F42"/>
    <w:rPr>
      <w:rFonts w:ascii="Wingdings" w:hAnsi="Wingdings"/>
    </w:rPr>
  </w:style>
  <w:style w:type="paragraph" w:customStyle="1" w:styleId="TableHeading">
    <w:name w:val="Table Heading"/>
    <w:basedOn w:val="HeadingBase"/>
    <w:rsid w:val="004A2F42"/>
    <w:pPr>
      <w:keepLines/>
      <w:pBdr>
        <w:bottom w:val="single" w:sz="6" w:space="1" w:color="918585"/>
      </w:pBdr>
      <w:spacing w:before="240"/>
    </w:pPr>
  </w:style>
  <w:style w:type="character" w:customStyle="1" w:styleId="HotSpot">
    <w:name w:val="HotSpot"/>
    <w:rsid w:val="004A2F42"/>
    <w:rPr>
      <w:color w:val="0033CC"/>
      <w:u w:val="none"/>
    </w:rPr>
  </w:style>
  <w:style w:type="paragraph" w:customStyle="1" w:styleId="BodyTextRight">
    <w:name w:val="Body Text Right"/>
    <w:basedOn w:val="BodyText"/>
    <w:rsid w:val="004A2F42"/>
    <w:pPr>
      <w:spacing w:before="0" w:after="0"/>
      <w:jc w:val="right"/>
    </w:pPr>
  </w:style>
  <w:style w:type="paragraph" w:styleId="Index3">
    <w:name w:val="index 3"/>
    <w:basedOn w:val="ListNumber2"/>
    <w:next w:val="Normal"/>
    <w:semiHidden/>
    <w:rsid w:val="004A2F42"/>
    <w:pPr>
      <w:numPr>
        <w:numId w:val="0"/>
      </w:numPr>
      <w:tabs>
        <w:tab w:val="right" w:leader="dot" w:pos="4176"/>
      </w:tabs>
    </w:pPr>
  </w:style>
  <w:style w:type="paragraph" w:styleId="ListNumber2">
    <w:name w:val="List Number 2"/>
    <w:basedOn w:val="List2"/>
    <w:rsid w:val="004A2F42"/>
    <w:pPr>
      <w:numPr>
        <w:numId w:val="8"/>
      </w:numPr>
      <w:tabs>
        <w:tab w:val="clear" w:pos="1060"/>
      </w:tabs>
    </w:pPr>
  </w:style>
  <w:style w:type="paragraph" w:customStyle="1" w:styleId="MarginNote">
    <w:name w:val="Margin Note"/>
    <w:basedOn w:val="BodyText"/>
    <w:rsid w:val="004A2F42"/>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4A2F42"/>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4A2F42"/>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4A2F42"/>
    <w:rPr>
      <w:sz w:val="32"/>
    </w:rPr>
  </w:style>
  <w:style w:type="paragraph" w:customStyle="1" w:styleId="HeadingProcedure">
    <w:name w:val="Heading Procedure"/>
    <w:basedOn w:val="HeadingBase"/>
    <w:next w:val="Normal"/>
    <w:rsid w:val="004A2F42"/>
    <w:pPr>
      <w:tabs>
        <w:tab w:val="left" w:pos="0"/>
      </w:tabs>
      <w:spacing w:before="120" w:after="60"/>
    </w:pPr>
    <w:rPr>
      <w:i/>
      <w:color w:val="918585"/>
      <w:sz w:val="22"/>
    </w:rPr>
  </w:style>
  <w:style w:type="paragraph" w:customStyle="1" w:styleId="TableBodyText">
    <w:name w:val="Table Body Text"/>
    <w:basedOn w:val="BodyText"/>
    <w:rsid w:val="004A2F42"/>
    <w:pPr>
      <w:spacing w:before="60" w:after="60"/>
    </w:pPr>
  </w:style>
  <w:style w:type="paragraph" w:styleId="ListContinue">
    <w:name w:val="List Continue"/>
    <w:basedOn w:val="List"/>
    <w:rsid w:val="004A2F42"/>
    <w:pPr>
      <w:ind w:firstLine="0"/>
    </w:pPr>
  </w:style>
  <w:style w:type="paragraph" w:customStyle="1" w:styleId="ListNote">
    <w:name w:val="List Note"/>
    <w:basedOn w:val="List"/>
    <w:rsid w:val="004A2F42"/>
    <w:pPr>
      <w:pBdr>
        <w:top w:val="single" w:sz="6" w:space="2" w:color="918585"/>
        <w:bottom w:val="single" w:sz="6" w:space="2" w:color="918585"/>
      </w:pBdr>
      <w:tabs>
        <w:tab w:val="left" w:pos="1021"/>
      </w:tabs>
      <w:ind w:firstLine="0"/>
    </w:pPr>
  </w:style>
  <w:style w:type="paragraph" w:customStyle="1" w:styleId="Warning">
    <w:name w:val="Warning"/>
    <w:basedOn w:val="BodyText"/>
    <w:rsid w:val="004A2F42"/>
    <w:pPr>
      <w:shd w:val="clear" w:color="auto" w:fill="D9D9D9"/>
      <w:tabs>
        <w:tab w:val="left" w:pos="992"/>
      </w:tabs>
      <w:ind w:left="119" w:right="119"/>
    </w:pPr>
    <w:rPr>
      <w:sz w:val="20"/>
    </w:rPr>
  </w:style>
  <w:style w:type="paragraph" w:customStyle="1" w:styleId="MarginIcons">
    <w:name w:val="Margin Icons"/>
    <w:basedOn w:val="BodyText"/>
    <w:rsid w:val="004A2F42"/>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4A2F42"/>
    <w:rPr>
      <w:rFonts w:ascii="Courier New" w:hAnsi="Courier New"/>
    </w:rPr>
  </w:style>
  <w:style w:type="paragraph" w:customStyle="1" w:styleId="NoteBullet">
    <w:name w:val="Note Bullet"/>
    <w:basedOn w:val="Note"/>
    <w:rsid w:val="004A2F42"/>
    <w:pPr>
      <w:tabs>
        <w:tab w:val="clear" w:pos="680"/>
      </w:tabs>
      <w:spacing w:before="60" w:after="60"/>
    </w:pPr>
  </w:style>
  <w:style w:type="paragraph" w:customStyle="1" w:styleId="SubHeading2">
    <w:name w:val="SubHeading2"/>
    <w:basedOn w:val="HeadingBase"/>
    <w:rsid w:val="004A2F42"/>
    <w:pPr>
      <w:spacing w:before="240" w:after="60"/>
    </w:pPr>
    <w:rPr>
      <w:sz w:val="20"/>
    </w:rPr>
  </w:style>
  <w:style w:type="paragraph" w:customStyle="1" w:styleId="SubHeading1">
    <w:name w:val="SubHeading1"/>
    <w:basedOn w:val="HeadingBase"/>
    <w:rsid w:val="004A2F42"/>
    <w:pPr>
      <w:spacing w:before="240" w:after="60"/>
    </w:pPr>
    <w:rPr>
      <w:color w:val="918585"/>
      <w:sz w:val="22"/>
    </w:rPr>
  </w:style>
  <w:style w:type="paragraph" w:customStyle="1" w:styleId="SideHeading">
    <w:name w:val="Side Heading"/>
    <w:basedOn w:val="HeadingBase"/>
    <w:rsid w:val="004A2F42"/>
    <w:pPr>
      <w:framePr w:w="2268" w:h="567" w:hSpace="181" w:vSpace="181" w:wrap="around" w:vAnchor="text" w:hAnchor="page" w:x="1419" w:y="370" w:anchorLock="1"/>
    </w:pPr>
    <w:rPr>
      <w:sz w:val="22"/>
    </w:rPr>
  </w:style>
  <w:style w:type="paragraph" w:customStyle="1" w:styleId="TableListBullet">
    <w:name w:val="Table List Bullet"/>
    <w:basedOn w:val="ListBullet"/>
    <w:rsid w:val="004A2F42"/>
    <w:pPr>
      <w:numPr>
        <w:numId w:val="9"/>
      </w:numPr>
    </w:pPr>
  </w:style>
  <w:style w:type="paragraph" w:styleId="PlainText">
    <w:name w:val="Plain Text"/>
    <w:basedOn w:val="Normal"/>
    <w:link w:val="PlainTextChar"/>
    <w:rsid w:val="004A2F42"/>
    <w:rPr>
      <w:sz w:val="20"/>
    </w:rPr>
  </w:style>
  <w:style w:type="character" w:customStyle="1" w:styleId="PlainTextChar">
    <w:name w:val="Plain Text Char"/>
    <w:basedOn w:val="DefaultParagraphFont"/>
    <w:link w:val="PlainText"/>
    <w:rsid w:val="004A2F42"/>
    <w:rPr>
      <w:rFonts w:ascii="Courier New" w:eastAsia="Times New Roman" w:hAnsi="Courier New" w:cs="Times New Roman"/>
      <w:sz w:val="20"/>
      <w:szCs w:val="20"/>
      <w:lang w:eastAsia="en-US"/>
    </w:rPr>
  </w:style>
  <w:style w:type="character" w:customStyle="1" w:styleId="MenuOption">
    <w:name w:val="Menu Option"/>
    <w:basedOn w:val="DefaultParagraphFont"/>
    <w:rsid w:val="004A2F42"/>
    <w:rPr>
      <w:b/>
      <w:smallCaps/>
    </w:rPr>
  </w:style>
  <w:style w:type="paragraph" w:customStyle="1" w:styleId="TableListNumber">
    <w:name w:val="Table List Number"/>
    <w:basedOn w:val="ListNumber"/>
    <w:rsid w:val="004A2F42"/>
    <w:pPr>
      <w:numPr>
        <w:numId w:val="0"/>
      </w:numPr>
    </w:pPr>
  </w:style>
  <w:style w:type="paragraph" w:styleId="TOC4">
    <w:name w:val="toc 4"/>
    <w:basedOn w:val="TOCBase"/>
    <w:next w:val="Normal"/>
    <w:semiHidden/>
    <w:rsid w:val="004A2F42"/>
    <w:pPr>
      <w:tabs>
        <w:tab w:val="right" w:leader="dot" w:pos="9071"/>
      </w:tabs>
      <w:ind w:left="1701"/>
    </w:pPr>
  </w:style>
  <w:style w:type="paragraph" w:customStyle="1" w:styleId="ListAlpha">
    <w:name w:val="List Alpha"/>
    <w:basedOn w:val="List"/>
    <w:rsid w:val="004A2F42"/>
    <w:pPr>
      <w:numPr>
        <w:numId w:val="7"/>
      </w:numPr>
    </w:pPr>
  </w:style>
  <w:style w:type="paragraph" w:customStyle="1" w:styleId="ListAlpha2">
    <w:name w:val="List Alpha 2"/>
    <w:basedOn w:val="List2"/>
    <w:rsid w:val="004A2F42"/>
    <w:pPr>
      <w:numPr>
        <w:numId w:val="6"/>
      </w:numPr>
    </w:pPr>
  </w:style>
  <w:style w:type="paragraph" w:styleId="List2">
    <w:name w:val="List 2"/>
    <w:basedOn w:val="BodyText"/>
    <w:rsid w:val="004A2F42"/>
    <w:pPr>
      <w:tabs>
        <w:tab w:val="left" w:pos="680"/>
      </w:tabs>
      <w:spacing w:before="60" w:after="60"/>
      <w:ind w:left="680" w:hanging="340"/>
    </w:pPr>
  </w:style>
  <w:style w:type="paragraph" w:styleId="List3">
    <w:name w:val="List 3"/>
    <w:basedOn w:val="BodyText"/>
    <w:rsid w:val="004A2F42"/>
    <w:pPr>
      <w:tabs>
        <w:tab w:val="left" w:pos="1021"/>
      </w:tabs>
      <w:spacing w:before="60" w:after="60"/>
      <w:ind w:left="1020" w:hanging="340"/>
    </w:pPr>
  </w:style>
  <w:style w:type="paragraph" w:styleId="List4">
    <w:name w:val="List 4"/>
    <w:basedOn w:val="BodyText"/>
    <w:rsid w:val="004A2F42"/>
    <w:pPr>
      <w:tabs>
        <w:tab w:val="left" w:pos="1361"/>
      </w:tabs>
      <w:spacing w:before="60" w:after="60"/>
      <w:ind w:left="1361" w:hanging="340"/>
    </w:pPr>
  </w:style>
  <w:style w:type="paragraph" w:styleId="List5">
    <w:name w:val="List 5"/>
    <w:basedOn w:val="BodyText"/>
    <w:rsid w:val="004A2F42"/>
    <w:pPr>
      <w:tabs>
        <w:tab w:val="left" w:pos="1701"/>
      </w:tabs>
      <w:spacing w:before="60" w:after="60"/>
      <w:ind w:left="1701" w:hanging="340"/>
    </w:pPr>
  </w:style>
  <w:style w:type="paragraph" w:styleId="ListBullet3">
    <w:name w:val="List Bullet 3"/>
    <w:basedOn w:val="List3"/>
    <w:rsid w:val="004A2F42"/>
    <w:pPr>
      <w:numPr>
        <w:numId w:val="12"/>
      </w:numPr>
      <w:tabs>
        <w:tab w:val="clear" w:pos="1021"/>
      </w:tabs>
      <w:ind w:left="1037" w:hanging="357"/>
    </w:pPr>
  </w:style>
  <w:style w:type="paragraph" w:styleId="ListBullet4">
    <w:name w:val="List Bullet 4"/>
    <w:basedOn w:val="List4"/>
    <w:rsid w:val="004A2F42"/>
    <w:pPr>
      <w:numPr>
        <w:numId w:val="1"/>
      </w:numPr>
      <w:tabs>
        <w:tab w:val="clear" w:pos="1361"/>
      </w:tabs>
    </w:pPr>
  </w:style>
  <w:style w:type="paragraph" w:styleId="ListBullet5">
    <w:name w:val="List Bullet 5"/>
    <w:basedOn w:val="List5"/>
    <w:rsid w:val="004A2F42"/>
    <w:pPr>
      <w:numPr>
        <w:numId w:val="2"/>
      </w:numPr>
    </w:pPr>
  </w:style>
  <w:style w:type="paragraph" w:styleId="ListContinue2">
    <w:name w:val="List Continue 2"/>
    <w:basedOn w:val="List2"/>
    <w:rsid w:val="004A2F42"/>
    <w:pPr>
      <w:ind w:firstLine="0"/>
    </w:pPr>
  </w:style>
  <w:style w:type="paragraph" w:styleId="ListContinue3">
    <w:name w:val="List Continue 3"/>
    <w:basedOn w:val="List3"/>
    <w:rsid w:val="004A2F42"/>
    <w:pPr>
      <w:ind w:left="1021" w:firstLine="0"/>
    </w:pPr>
  </w:style>
  <w:style w:type="paragraph" w:styleId="ListContinue4">
    <w:name w:val="List Continue 4"/>
    <w:basedOn w:val="List4"/>
    <w:rsid w:val="004A2F42"/>
    <w:pPr>
      <w:ind w:firstLine="0"/>
    </w:pPr>
  </w:style>
  <w:style w:type="paragraph" w:styleId="ListContinue5">
    <w:name w:val="List Continue 5"/>
    <w:basedOn w:val="List5"/>
    <w:rsid w:val="004A2F42"/>
    <w:pPr>
      <w:ind w:firstLine="0"/>
    </w:pPr>
  </w:style>
  <w:style w:type="paragraph" w:styleId="ListNumber3">
    <w:name w:val="List Number 3"/>
    <w:basedOn w:val="List3"/>
    <w:rsid w:val="004A2F42"/>
    <w:pPr>
      <w:numPr>
        <w:numId w:val="3"/>
      </w:numPr>
    </w:pPr>
  </w:style>
  <w:style w:type="paragraph" w:styleId="ListNumber4">
    <w:name w:val="List Number 4"/>
    <w:basedOn w:val="List4"/>
    <w:rsid w:val="004A2F42"/>
    <w:pPr>
      <w:numPr>
        <w:numId w:val="4"/>
      </w:numPr>
    </w:pPr>
  </w:style>
  <w:style w:type="paragraph" w:styleId="ListNumber5">
    <w:name w:val="List Number 5"/>
    <w:basedOn w:val="List5"/>
    <w:rsid w:val="004A2F42"/>
    <w:pPr>
      <w:numPr>
        <w:numId w:val="5"/>
      </w:numPr>
    </w:pPr>
  </w:style>
  <w:style w:type="paragraph" w:styleId="BlockText">
    <w:name w:val="Block Text"/>
    <w:basedOn w:val="Normal"/>
    <w:rsid w:val="004A2F42"/>
    <w:pPr>
      <w:spacing w:after="120"/>
      <w:ind w:left="1440" w:right="1440"/>
    </w:pPr>
  </w:style>
  <w:style w:type="character" w:customStyle="1" w:styleId="Subscript">
    <w:name w:val="Subscript"/>
    <w:basedOn w:val="DefaultParagraphFont"/>
    <w:rsid w:val="004A2F42"/>
    <w:rPr>
      <w:sz w:val="16"/>
      <w:vertAlign w:val="subscript"/>
    </w:rPr>
  </w:style>
  <w:style w:type="character" w:customStyle="1" w:styleId="Superscript">
    <w:name w:val="Superscript"/>
    <w:basedOn w:val="DefaultParagraphFont"/>
    <w:rsid w:val="004A2F42"/>
    <w:rPr>
      <w:sz w:val="16"/>
      <w:vertAlign w:val="superscript"/>
    </w:rPr>
  </w:style>
  <w:style w:type="character" w:customStyle="1" w:styleId="Symbols">
    <w:name w:val="Symbols"/>
    <w:basedOn w:val="DefaultParagraphFont"/>
    <w:rsid w:val="004A2F42"/>
    <w:rPr>
      <w:rFonts w:ascii="Symbol" w:hAnsi="Symbol"/>
    </w:rPr>
  </w:style>
  <w:style w:type="character" w:customStyle="1" w:styleId="MenuOptions">
    <w:name w:val="Menu Options"/>
    <w:basedOn w:val="DefaultParagraphFont"/>
    <w:rsid w:val="004A2F42"/>
    <w:rPr>
      <w:rFonts w:ascii="Arial Narrow" w:hAnsi="Arial Narrow"/>
      <w:smallCaps/>
    </w:rPr>
  </w:style>
  <w:style w:type="character" w:customStyle="1" w:styleId="Buttons">
    <w:name w:val="Buttons"/>
    <w:basedOn w:val="DefaultParagraphFont"/>
    <w:rsid w:val="004A2F42"/>
    <w:rPr>
      <w:b/>
    </w:rPr>
  </w:style>
  <w:style w:type="character" w:customStyle="1" w:styleId="Underlined">
    <w:name w:val="Underlined"/>
    <w:basedOn w:val="DefaultParagraphFont"/>
    <w:rsid w:val="004A2F42"/>
    <w:rPr>
      <w:u w:val="single"/>
    </w:rPr>
  </w:style>
  <w:style w:type="paragraph" w:customStyle="1" w:styleId="TableBodyTextRight">
    <w:name w:val="Table Body Text Right"/>
    <w:basedOn w:val="TableBodyText"/>
    <w:rsid w:val="004A2F42"/>
    <w:pPr>
      <w:widowControl w:val="0"/>
      <w:autoSpaceDE w:val="0"/>
      <w:autoSpaceDN w:val="0"/>
      <w:adjustRightInd w:val="0"/>
      <w:jc w:val="right"/>
    </w:pPr>
    <w:rPr>
      <w:rFonts w:cs="Arial"/>
      <w:szCs w:val="18"/>
    </w:rPr>
  </w:style>
  <w:style w:type="paragraph" w:customStyle="1" w:styleId="CopyrightText">
    <w:name w:val="Copyright Text"/>
    <w:basedOn w:val="BodyText"/>
    <w:rsid w:val="004A2F42"/>
    <w:rPr>
      <w:sz w:val="18"/>
    </w:rPr>
  </w:style>
  <w:style w:type="paragraph" w:customStyle="1" w:styleId="BodySmallRight">
    <w:name w:val="Body Small Right"/>
    <w:basedOn w:val="BodyTextRight"/>
    <w:rsid w:val="004A2F42"/>
    <w:rPr>
      <w:sz w:val="18"/>
      <w:szCs w:val="18"/>
    </w:rPr>
  </w:style>
  <w:style w:type="paragraph" w:customStyle="1" w:styleId="MarginEdition">
    <w:name w:val="Margin Edition"/>
    <w:basedOn w:val="MarginNote"/>
    <w:rsid w:val="004A2F42"/>
    <w:pPr>
      <w:spacing w:before="0" w:after="0"/>
    </w:pPr>
    <w:rPr>
      <w:rFonts w:ascii="Times New Roman" w:hAnsi="Times New Roman"/>
      <w:color w:val="999999"/>
    </w:rPr>
  </w:style>
  <w:style w:type="paragraph" w:customStyle="1" w:styleId="Spacer">
    <w:name w:val="Spacer"/>
    <w:basedOn w:val="Normal"/>
    <w:rsid w:val="004A2F42"/>
    <w:rPr>
      <w:sz w:val="2"/>
      <w:szCs w:val="2"/>
    </w:rPr>
  </w:style>
  <w:style w:type="character" w:customStyle="1" w:styleId="Small">
    <w:name w:val="Small"/>
    <w:basedOn w:val="DefaultParagraphFont"/>
    <w:rsid w:val="004A2F42"/>
    <w:rPr>
      <w:sz w:val="16"/>
    </w:rPr>
  </w:style>
  <w:style w:type="paragraph" w:customStyle="1" w:styleId="WideTable">
    <w:name w:val="Wide Table"/>
    <w:basedOn w:val="Normal"/>
    <w:rsid w:val="004A2F42"/>
    <w:pPr>
      <w:ind w:left="-1418"/>
    </w:pPr>
    <w:rPr>
      <w:sz w:val="2"/>
      <w:szCs w:val="2"/>
    </w:rPr>
  </w:style>
  <w:style w:type="character" w:styleId="PageNumber">
    <w:name w:val="page number"/>
    <w:basedOn w:val="DefaultParagraphFont"/>
    <w:rsid w:val="004A2F42"/>
  </w:style>
  <w:style w:type="paragraph" w:styleId="Quote">
    <w:name w:val="Quote"/>
    <w:basedOn w:val="Heading1"/>
    <w:link w:val="QuoteChar"/>
    <w:qFormat/>
    <w:rsid w:val="004A2F42"/>
    <w:rPr>
      <w:b w:val="0"/>
      <w:sz w:val="72"/>
      <w:szCs w:val="72"/>
      <w:lang w:val="en-NZ"/>
    </w:rPr>
  </w:style>
  <w:style w:type="character" w:customStyle="1" w:styleId="QuoteChar">
    <w:name w:val="Quote Char"/>
    <w:basedOn w:val="DefaultParagraphFont"/>
    <w:link w:val="Quote"/>
    <w:rsid w:val="004A2F42"/>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4A2F42"/>
    <w:pPr>
      <w:pageBreakBefore/>
    </w:pPr>
  </w:style>
  <w:style w:type="paragraph" w:customStyle="1" w:styleId="Border">
    <w:name w:val="Border"/>
    <w:basedOn w:val="Normal"/>
    <w:qFormat/>
    <w:rsid w:val="004A2F42"/>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4A2F42"/>
    <w:rPr>
      <w:b/>
      <w:bCs/>
      <w:i/>
      <w:iCs/>
      <w:color w:val="auto"/>
    </w:rPr>
  </w:style>
  <w:style w:type="paragraph" w:styleId="IntenseQuote">
    <w:name w:val="Intense Quote"/>
    <w:basedOn w:val="Normal"/>
    <w:next w:val="Normal"/>
    <w:link w:val="IntenseQuoteChar"/>
    <w:uiPriority w:val="30"/>
    <w:qFormat/>
    <w:rsid w:val="004A2F4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4A2F42"/>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4A2F42"/>
    <w:rPr>
      <w:smallCaps/>
      <w:color w:val="auto"/>
      <w:u w:val="single"/>
    </w:rPr>
  </w:style>
  <w:style w:type="character" w:styleId="IntenseReference">
    <w:name w:val="Intense Reference"/>
    <w:basedOn w:val="DefaultParagraphFont"/>
    <w:uiPriority w:val="32"/>
    <w:qFormat/>
    <w:rsid w:val="004A2F42"/>
    <w:rPr>
      <w:b/>
      <w:bCs/>
      <w:smallCaps/>
      <w:color w:val="auto"/>
      <w:spacing w:val="5"/>
      <w:u w:val="single"/>
    </w:rPr>
  </w:style>
  <w:style w:type="paragraph" w:customStyle="1" w:styleId="2ColumnHeading">
    <w:name w:val="2Column Heading"/>
    <w:basedOn w:val="BodyText"/>
    <w:qFormat/>
    <w:rsid w:val="004A2F42"/>
    <w:pPr>
      <w:spacing w:after="60"/>
      <w:ind w:left="-2268"/>
    </w:pPr>
    <w:rPr>
      <w:b/>
    </w:rPr>
  </w:style>
  <w:style w:type="paragraph" w:customStyle="1" w:styleId="Heading1TOC">
    <w:name w:val="Heading1 TOC"/>
    <w:basedOn w:val="Normal"/>
    <w:qFormat/>
    <w:rsid w:val="004A2F42"/>
    <w:pPr>
      <w:spacing w:before="240" w:after="120"/>
    </w:pPr>
    <w:rPr>
      <w:rFonts w:ascii="Times New Roman" w:hAnsi="Times New Roman"/>
      <w:b/>
      <w:sz w:val="32"/>
    </w:rPr>
  </w:style>
  <w:style w:type="paragraph" w:customStyle="1" w:styleId="Heading2TOC">
    <w:name w:val="Heading2 TOC"/>
    <w:basedOn w:val="Normal"/>
    <w:qFormat/>
    <w:rsid w:val="004A2F42"/>
    <w:pPr>
      <w:spacing w:before="240" w:after="60"/>
    </w:pPr>
    <w:rPr>
      <w:rFonts w:ascii="Times New Roman" w:hAnsi="Times New Roman"/>
      <w:b/>
      <w:sz w:val="28"/>
    </w:rPr>
  </w:style>
  <w:style w:type="character" w:customStyle="1" w:styleId="Underline">
    <w:name w:val="Underline"/>
    <w:basedOn w:val="DefaultParagraphFont"/>
    <w:qFormat/>
    <w:rsid w:val="004A2F42"/>
    <w:rPr>
      <w:u w:val="single"/>
    </w:rPr>
  </w:style>
  <w:style w:type="character" w:customStyle="1" w:styleId="BoldandItalics">
    <w:name w:val="Bold and Italics"/>
    <w:qFormat/>
    <w:rsid w:val="004A2F42"/>
    <w:rPr>
      <w:b/>
      <w:i/>
      <w:u w:val="none"/>
    </w:rPr>
  </w:style>
  <w:style w:type="paragraph" w:styleId="BalloonText">
    <w:name w:val="Balloon Text"/>
    <w:basedOn w:val="Normal"/>
    <w:link w:val="BalloonTextChar"/>
    <w:rsid w:val="004A2F42"/>
    <w:rPr>
      <w:rFonts w:ascii="Tahoma" w:hAnsi="Tahoma" w:cs="Tahoma"/>
      <w:sz w:val="16"/>
      <w:szCs w:val="16"/>
    </w:rPr>
  </w:style>
  <w:style w:type="character" w:customStyle="1" w:styleId="BalloonTextChar">
    <w:name w:val="Balloon Text Char"/>
    <w:basedOn w:val="DefaultParagraphFont"/>
    <w:link w:val="BalloonText"/>
    <w:rsid w:val="004A2F42"/>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4A2F42"/>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4A2F42"/>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4A2F42"/>
    <w:rPr>
      <w:b/>
      <w:color w:val="660033"/>
      <w:spacing w:val="0"/>
    </w:rPr>
  </w:style>
  <w:style w:type="paragraph" w:customStyle="1" w:styleId="Nameditemlist">
    <w:name w:val="Named item list"/>
    <w:basedOn w:val="BodyText"/>
    <w:qFormat/>
    <w:rsid w:val="004A2F42"/>
    <w:pPr>
      <w:tabs>
        <w:tab w:val="left" w:pos="2835"/>
      </w:tabs>
      <w:ind w:left="2835" w:hanging="2835"/>
    </w:pPr>
  </w:style>
  <w:style w:type="paragraph" w:customStyle="1" w:styleId="BodyTextnopadding">
    <w:name w:val="Body Text no padding"/>
    <w:basedOn w:val="BodyText"/>
    <w:qFormat/>
    <w:rsid w:val="004A2F42"/>
    <w:pPr>
      <w:spacing w:before="0" w:after="0"/>
    </w:pPr>
  </w:style>
  <w:style w:type="paragraph" w:customStyle="1" w:styleId="BodyTextBold">
    <w:name w:val="Body Text Bold"/>
    <w:basedOn w:val="BodyText"/>
    <w:qFormat/>
    <w:rsid w:val="004A2F42"/>
    <w:rPr>
      <w:b/>
    </w:rPr>
  </w:style>
  <w:style w:type="character" w:styleId="Hyperlink">
    <w:name w:val="Hyperlink"/>
    <w:basedOn w:val="DefaultParagraphFont"/>
    <w:uiPriority w:val="99"/>
    <w:unhideWhenUsed/>
    <w:rsid w:val="007A7EA5"/>
    <w:rPr>
      <w:color w:val="0000FF" w:themeColor="hyperlink"/>
      <w:u w:val="single"/>
    </w:rPr>
  </w:style>
  <w:style w:type="paragraph" w:styleId="Revision">
    <w:name w:val="Revision"/>
    <w:hidden/>
    <w:uiPriority w:val="99"/>
    <w:semiHidden/>
    <w:rsid w:val="0040562B"/>
    <w:pPr>
      <w:spacing w:after="0" w:line="240" w:lineRule="auto"/>
    </w:pPr>
    <w:rPr>
      <w:rFonts w:ascii="Courier New" w:eastAsia="Times New Roman" w:hAnsi="Courier New" w:cs="Times New Roman"/>
      <w:szCs w:val="20"/>
      <w:lang w:eastAsia="en-US"/>
    </w:rPr>
  </w:style>
  <w:style w:type="character" w:styleId="Strong">
    <w:name w:val="Strong"/>
    <w:basedOn w:val="DefaultParagraphFont"/>
    <w:uiPriority w:val="22"/>
    <w:qFormat/>
    <w:rsid w:val="00877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CHCMHS010</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formatting issues. Minor rewording and rearrangement of KE for clarity and measurability; replaced some terms with updated terminology; changed “family violence to “domestic and family violence”, separated "social housing" and "homelessness" and added "at risk of homelessness"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359856CF-1E23-46A6-BA2B-F4EBF56FFA75}">
  <ds:schemaRefs>
    <ds:schemaRef ds:uri="http://schemas.microsoft.com/sharepoint/v3/contenttype/forms"/>
  </ds:schemaRefs>
</ds:datastoreItem>
</file>

<file path=customXml/itemProps2.xml><?xml version="1.0" encoding="utf-8"?>
<ds:datastoreItem xmlns:ds="http://schemas.openxmlformats.org/officeDocument/2006/customXml" ds:itemID="{CC71AB54-AC53-4507-9D93-650291AF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A1880-4131-4394-BF2C-3F00D7DFB533}">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CHCMHS010 Implement recovery oriented approaches to complexity </vt:lpstr>
    </vt:vector>
  </TitlesOfParts>
  <Company>Author-it Software Corporation Ltd.</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CHCMHS010 Implement recovery oriented approaches to complexity </dc:title>
  <dc:subject>Approved</dc:subject>
  <dc:creator>SkillsIQ</dc:creator>
  <cp:keywords>Release: 1</cp:keywords>
  <dc:description>Review Date: 12 April 2008</dc:description>
  <cp:lastModifiedBy>Katrina Sewell</cp:lastModifiedBy>
  <cp:revision>3</cp:revision>
  <cp:lastPrinted>2025-04-03T10:16:00Z</cp:lastPrinted>
  <dcterms:created xsi:type="dcterms:W3CDTF">2025-04-14T23:01:00Z</dcterms:created>
  <dcterms:modified xsi:type="dcterms:W3CDTF">2025-04-17T05:23:00Z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1815900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